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F13B3">
      <w:pPr>
        <w:jc w:val="center"/>
        <w:rPr>
          <w:rFonts w:ascii="楷体" w:hAnsi="楷体" w:eastAsia="楷体"/>
          <w:b/>
          <w:sz w:val="28"/>
        </w:rPr>
      </w:pPr>
    </w:p>
    <w:p w14:paraId="13E7A292">
      <w:pPr>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b/>
          <w:sz w:val="28"/>
        </w:rPr>
        <w:t>律 师 函</w:t>
      </w:r>
    </w:p>
    <w:p w14:paraId="7F056A30">
      <w:pPr>
        <w:jc w:val="right"/>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（2026）</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律函第【】号</w:t>
      </w:r>
    </w:p>
    <w:p w14:paraId="1FDCA37D">
      <w:pPr>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rPr>
        <w:t>致：</w:t>
      </w:r>
      <w:r>
        <w:rPr>
          <w:rFonts w:hint="eastAsia" w:ascii="方正仿宋_GB2312" w:hAnsi="方正仿宋_GB2312" w:eastAsia="方正仿宋_GB2312" w:cs="方正仿宋_GB2312"/>
          <w:lang w:eastAsia="zh-CN"/>
        </w:rPr>
        <w:t>【】</w:t>
      </w:r>
    </w:p>
    <w:p w14:paraId="5E667ADE">
      <w:pPr>
        <w:numPr>
          <w:ilvl w:val="0"/>
          <w:numId w:val="0"/>
        </w:numPr>
        <w:ind w:left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收件地址：【】市【】区【】路【】号【】楼【】</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我们，</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律师事务所，受</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（以下简称"委托人"）的委托，指派本所</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律师处理委托人与贵司之间的劳动争议事宜。就前述事项，本所律师特向贵司郑重致函如下：</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一、基本事实</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根据委托人的陈述和有关证据材料，截至本函发出之日，我们了解到如下情况：</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委托人</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于</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年</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月</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日入职贵司，</w:t>
      </w:r>
      <w:r>
        <w:rPr>
          <w:rFonts w:hint="eastAsia" w:ascii="方正仿宋_GB2312" w:hAnsi="方正仿宋_GB2312" w:eastAsia="方正仿宋_GB2312" w:cs="方正仿宋_GB2312"/>
          <w:lang w:val="en-US" w:eastAsia="zh-CN"/>
        </w:rPr>
        <w:t>委托人与贵司</w:t>
      </w:r>
      <w:r>
        <w:rPr>
          <w:rFonts w:hint="eastAsia" w:ascii="方正仿宋_GB2312" w:hAnsi="方正仿宋_GB2312" w:eastAsia="方正仿宋_GB2312" w:cs="方正仿宋_GB2312"/>
        </w:rPr>
        <w:t>已签订</w:t>
      </w:r>
      <w:r>
        <w:rPr>
          <w:rFonts w:hint="eastAsia" w:ascii="方正仿宋_GB2312" w:hAnsi="方正仿宋_GB2312" w:eastAsia="方正仿宋_GB2312" w:cs="方正仿宋_GB2312"/>
          <w:lang w:val="en-US" w:eastAsia="zh-CN"/>
        </w:rPr>
        <w:t>【】</w:t>
      </w:r>
      <w:r>
        <w:rPr>
          <w:rFonts w:hint="eastAsia" w:ascii="方正仿宋_GB2312" w:hAnsi="方正仿宋_GB2312" w:eastAsia="方正仿宋_GB2312" w:cs="方正仿宋_GB2312"/>
        </w:rPr>
        <w:t>次固定期限劳动合同。然而，在第二次固定期限劳动合同期满后，贵司未按照法律规定与委托人签订无固定期限劳动合同。</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此外，贵司在委托人入职期间存在以下违法行为：</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1. 未足额支付加班工资：根据委托人考勤记录及工资发放凭证，贵司未足额支付委托人加班工资，累计金额为</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元。</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2. 未依法缴纳社会保险：贵司未按照法律规定足额为委托人缴纳社会保险费用，欠缴金额为</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元。</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3. 未依法缴纳住房公积金：贵司未按照法律规定足额为委托人缴存住房公积金，欠缴金额为</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元。</w:t>
      </w:r>
    </w:p>
    <w:p w14:paraId="32BF1E7D">
      <w:pPr>
        <w:numPr>
          <w:ilvl w:val="0"/>
          <w:numId w:val="0"/>
        </w:numPr>
        <w:ind w:leftChars="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4.提供经济补偿金远低于法律规定：贵司向委托人发放通知，但通知中贵司向委托人提供的解除后经济</w:t>
      </w:r>
      <w:bookmarkStart w:id="0" w:name="_GoBack"/>
      <w:bookmarkEnd w:id="0"/>
      <w:r>
        <w:rPr>
          <w:rFonts w:hint="eastAsia" w:ascii="方正仿宋_GB2312" w:hAnsi="方正仿宋_GB2312" w:eastAsia="方正仿宋_GB2312" w:cs="方正仿宋_GB2312"/>
          <w:lang w:val="en-US" w:eastAsia="zh-CN"/>
        </w:rPr>
        <w:t>补偿金，远低于法律规定。</w:t>
      </w:r>
    </w:p>
    <w:p w14:paraId="614D3E81">
      <w:pP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二、法律分析</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本律师认为，贵司的上述行为已违反《中华人民共和国劳动合同法》、《中华人民共和国劳动法》、《中华人民共和国社会保险法》、《住房公积金管理条例》等相关法律法规，严重侵害了委托人的合法权益。</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1. 关于无固定期限劳动合同</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劳动合同法》第十四条第二款规定："有下列情形之一，劳动者提出或者同意续订、订立劳动合同的，除劳动者提出订立固定期限劳动合同外，应当订立无固定期限劳动合同：（三）连续订立二次固定期限劳动合同，且劳动者没有本法第三十九条和第四十条第一项、第二项规定情形，续订劳动合同的。"</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委托人与贵司已连续签订两次固定期限劳动合同，且不存在第三十九条和第四十条第一项、第二项规定情形，贵司应当与委托人签订无固定期限劳动合同而未签订，已构成违法。</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2. 关于经济补偿金</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《劳动合同法》第四十四条第（一）项规定："有下列情形之一的，劳动合同终止：（一）劳动合同期满的。"</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劳动合同法》第四十六条第（五）项规定："有下列情形之一的，用人单位应当向劳动者支付经济补偿：（五）除用人单位维持或者提高劳动合同约定条件续订劳动合同，劳动者不同意续订的情形外，依照本法第四十四条第一项规定终止固定期限劳动合同的。"</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劳动合同法》第四十七条规定："经济补偿按劳动者在本单位工作的年限，每满一年支付一个月工资的标准向劳动者支付。六个月以上不满一年的，按一年计算；不满六个月的，向劳动者支付半个月工资的经济补偿。"</w:t>
      </w:r>
    </w:p>
    <w:p w14:paraId="24EF95AC">
      <w:pPr>
        <w:numPr>
          <w:ilvl w:val="0"/>
          <w:numId w:val="0"/>
        </w:numPr>
        <w:ind w:left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劳动合同法》第八十七条规定：“用人单位违反本法规定解除或者终止劳动合同的，应当依照本法第四十七条规定的经济补偿标准的二倍向劳动着支付赔偿金。”</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委托人在贵司工作8年，离职前12个月平均工资为24,500元。贵司单方面决定劳动合同期满后不再续签，并非委托人不同意续订，而是贵司拒绝续订。因此，贵司应当向委托人支付经济补偿金196,000元（8个月工资）。</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3. 关于加班工资</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劳动法》第四十四条规定："有下列情形之一的，用人单位应当按照下列标准支付高于劳动者正常工作时间工资的工资报酬：（一）安排劳动者延长工作时间的，支付不低于工资的百分之一百五十的工资报酬；（二）休息日安排劳动者工作又不能安排补休的，支付不低于工资的百分之二百的工资报酬；（三）法定休假日安排劳动者工作的，支付不低于工资的百分之三百的工资报酬。"</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贵司未足额支付加班工资，已构成违法。</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4. 关于社会保险和住房公积金</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《社会保险法》第六十条规定："用人单位应当自行申报、按时足额缴纳社会保险费，非因不可抗力等法定事由不得缓缴、减免。"</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住房公积金管理条例》第十五条规定："单位录用职工的，应当自录用之日起30日内到住房公积金管理中心办理缴存登记，并持住房公积金管理中心的审核文件，到受委托银行办理职工住房公积金账户的设立或者转移手续。"</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贵司未依法足额缴纳社会保险和住房公积金，已构成违法。</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三、委托人的要求</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为此，本所律师代表委托人向贵司郑重通知如下：</w:t>
      </w:r>
    </w:p>
    <w:p w14:paraId="2AB6795B">
      <w:pPr>
        <w:numPr>
          <w:ilvl w:val="0"/>
          <w:numId w:val="7"/>
        </w:numPr>
        <w:ind w:left="425" w:leftChars="0" w:hanging="425"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贵司应于</w:t>
      </w:r>
      <w:r>
        <w:rPr>
          <w:rFonts w:hint="eastAsia" w:ascii="方正仿宋_GB2312" w:hAnsi="方正仿宋_GB2312" w:eastAsia="方正仿宋_GB2312" w:cs="方正仿宋_GB2312"/>
          <w:lang w:val="en-US" w:eastAsia="zh-CN"/>
        </w:rPr>
        <w:t>本合同到期后</w:t>
      </w:r>
      <w:r>
        <w:rPr>
          <w:rFonts w:hint="eastAsia" w:ascii="方正仿宋_GB2312" w:hAnsi="方正仿宋_GB2312" w:eastAsia="方正仿宋_GB2312" w:cs="方正仿宋_GB2312"/>
        </w:rPr>
        <w:t>，与委托人</w:t>
      </w:r>
      <w:r>
        <w:rPr>
          <w:rFonts w:hint="eastAsia" w:ascii="方正仿宋_GB2312" w:hAnsi="方正仿宋_GB2312" w:eastAsia="方正仿宋_GB2312" w:cs="方正仿宋_GB2312"/>
          <w:lang w:val="en-US" w:eastAsia="zh-CN"/>
        </w:rPr>
        <w:t>续签</w:t>
      </w:r>
      <w:r>
        <w:rPr>
          <w:rFonts w:hint="eastAsia" w:ascii="方正仿宋_GB2312" w:hAnsi="方正仿宋_GB2312" w:eastAsia="方正仿宋_GB2312" w:cs="方正仿宋_GB2312"/>
        </w:rPr>
        <w:t>无固定期限劳动合同。</w:t>
      </w:r>
      <w:r>
        <w:rPr>
          <w:rFonts w:hint="eastAsia" w:ascii="方正仿宋_GB2312" w:hAnsi="方正仿宋_GB2312" w:eastAsia="方正仿宋_GB2312" w:cs="方正仿宋_GB2312"/>
          <w:lang w:val="en-US" w:eastAsia="zh-CN"/>
        </w:rPr>
        <w:t>如未及时予以处理，贵司应于15日内向委托人支付双倍</w:t>
      </w:r>
      <w:r>
        <w:rPr>
          <w:rFonts w:hint="eastAsia" w:ascii="方正仿宋_GB2312" w:hAnsi="方正仿宋_GB2312" w:eastAsia="方正仿宋_GB2312" w:cs="方正仿宋_GB2312"/>
        </w:rPr>
        <w:t>经济补偿金</w:t>
      </w:r>
      <w:r>
        <w:rPr>
          <w:rFonts w:hint="eastAsia" w:ascii="方正仿宋_GB2312" w:hAnsi="方正仿宋_GB2312" w:eastAsia="方正仿宋_GB2312" w:cs="方正仿宋_GB2312"/>
          <w:lang w:val="en-US" w:eastAsia="zh-CN"/>
        </w:rPr>
        <w:t>【】</w:t>
      </w:r>
      <w:r>
        <w:rPr>
          <w:rFonts w:hint="eastAsia" w:ascii="方正仿宋_GB2312" w:hAnsi="方正仿宋_GB2312" w:eastAsia="方正仿宋_GB2312" w:cs="方正仿宋_GB2312"/>
        </w:rPr>
        <w:t>元</w:t>
      </w:r>
      <w:r>
        <w:rPr>
          <w:rFonts w:hint="eastAsia" w:ascii="方正仿宋_GB2312" w:hAnsi="方正仿宋_GB2312" w:eastAsia="方正仿宋_GB2312" w:cs="方正仿宋_GB2312"/>
          <w:lang w:eastAsia="zh-CN"/>
        </w:rPr>
        <w:t>。</w:t>
      </w:r>
    </w:p>
    <w:p w14:paraId="6CB3DCD4">
      <w:pPr>
        <w:numPr>
          <w:ilvl w:val="0"/>
          <w:numId w:val="7"/>
        </w:numPr>
        <w:ind w:left="425" w:leftChars="0" w:hanging="425"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贵司应于收函之日起15日内，向社会保险经办机构补缴</w:t>
      </w:r>
      <w:r>
        <w:rPr>
          <w:rFonts w:hint="eastAsia" w:ascii="方正仿宋_GB2312" w:hAnsi="方正仿宋_GB2312" w:eastAsia="方正仿宋_GB2312" w:cs="方正仿宋_GB2312"/>
          <w:lang w:val="en-US" w:eastAsia="zh-CN"/>
        </w:rPr>
        <w:t>的</w:t>
      </w:r>
      <w:r>
        <w:rPr>
          <w:rFonts w:hint="eastAsia" w:ascii="方正仿宋_GB2312" w:hAnsi="方正仿宋_GB2312" w:eastAsia="方正仿宋_GB2312" w:cs="方正仿宋_GB2312"/>
        </w:rPr>
        <w:t>委托人社会保险费用</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元</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lang w:val="en-US" w:eastAsia="zh-CN"/>
        </w:rPr>
        <w:t>截止【】年【】月【】日）</w:t>
      </w:r>
      <w:r>
        <w:rPr>
          <w:rFonts w:hint="eastAsia" w:ascii="方正仿宋_GB2312" w:hAnsi="方正仿宋_GB2312" w:eastAsia="方正仿宋_GB2312" w:cs="方正仿宋_GB2312"/>
        </w:rPr>
        <w:t>。</w:t>
      </w:r>
    </w:p>
    <w:p w14:paraId="77359BC6">
      <w:pPr>
        <w:numPr>
          <w:ilvl w:val="0"/>
          <w:numId w:val="7"/>
        </w:numPr>
        <w:ind w:left="425" w:leftChars="0" w:hanging="425"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贵司应于收函之日起15日内，向住房公积金管理中心补缴委托人住房公积金</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元</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lang w:val="en-US" w:eastAsia="zh-CN"/>
        </w:rPr>
        <w:t>截止【】年【】月【】日）</w:t>
      </w:r>
      <w:r>
        <w:rPr>
          <w:rFonts w:hint="eastAsia" w:ascii="方正仿宋_GB2312" w:hAnsi="方正仿宋_GB2312" w:eastAsia="方正仿宋_GB2312" w:cs="方正仿宋_GB2312"/>
        </w:rPr>
        <w:t xml:space="preserve">。 </w:t>
      </w:r>
    </w:p>
    <w:p w14:paraId="4B8D59BA">
      <w:pPr>
        <w:numPr>
          <w:ilvl w:val="0"/>
          <w:numId w:val="7"/>
        </w:numPr>
        <w:ind w:left="425" w:leftChars="0" w:hanging="425"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贵司应于收函之日起7日内，足额支付委托人加班工资</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元</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lang w:val="en-US" w:eastAsia="zh-CN"/>
        </w:rPr>
        <w:t>截止【】年【】月【】日）</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如贵司未能按照本函要求履行上述事宜，本所将根据委托人的授权采取进一步的法律措施，包括但不限于向劳动人事争议仲裁委员会申请劳动仲裁、向人民法院提起诉讼等，以追究贵司的违约责任，由此产生的一切不利于贵司的法律后果及委托人的全部损失（包括但不限于欠付金额、利息、律师费、保全费等）将由贵司自行承担。</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本律师函的出具并不意味着委托人免除、放弃、豁免或丧失依据中国法律而对贵司享有的一切经济以及其他方面的追究法律责任的权利；若贵司采取非积极的态度与处理方式处理上述事宜，则委托人将不得不立即通过包括诉讼在内的一切合理的救济措施以追究贵司的法律责任。</w:t>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br w:type="textWrapping"/>
      </w:r>
      <w:r>
        <w:rPr>
          <w:rFonts w:hint="eastAsia" w:ascii="方正仿宋_GB2312" w:hAnsi="方正仿宋_GB2312" w:eastAsia="方正仿宋_GB2312" w:cs="方正仿宋_GB2312"/>
        </w:rPr>
        <w:t>特此函告！</w:t>
      </w:r>
    </w:p>
    <w:p w14:paraId="2A31D117">
      <w:pPr>
        <w:jc w:val="right"/>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律师事务所</w:t>
      </w:r>
    </w:p>
    <w:p w14:paraId="2E4070DB">
      <w:pPr>
        <w:jc w:val="right"/>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 xml:space="preserve">                                                   </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 xml:space="preserve">   律师</w:t>
      </w:r>
    </w:p>
    <w:p w14:paraId="6E762EFA">
      <w:pPr>
        <w:jc w:val="right"/>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 xml:space="preserve">                                                  </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年</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rPr>
        <w:t>月</w:t>
      </w:r>
      <w:r>
        <w:rPr>
          <w:rFonts w:hint="eastAsia" w:ascii="方正仿宋_GB2312" w:hAnsi="方正仿宋_GB2312" w:eastAsia="方正仿宋_GB2312" w:cs="方正仿宋_GB2312"/>
          <w:lang w:val="en-US" w:eastAsia="zh-CN"/>
        </w:rPr>
        <w:t>【】</w:t>
      </w:r>
      <w:r>
        <w:rPr>
          <w:rFonts w:hint="eastAsia" w:ascii="方正仿宋_GB2312" w:hAnsi="方正仿宋_GB2312" w:eastAsia="方正仿宋_GB2312" w:cs="方正仿宋_GB2312"/>
        </w:rPr>
        <w:t>日</w:t>
      </w:r>
    </w:p>
    <w:sectPr>
      <w:footerReference r:id="rId5"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方正仿宋_GB2312">
    <w:panose1 w:val="02000000000000000000"/>
    <w:charset w:val="86"/>
    <w:family w:val="auto"/>
    <w:pitch w:val="default"/>
    <w:sig w:usb0="A00002BF" w:usb1="184F6CFA" w:usb2="00000012"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B53F1">
    <w:pPr>
      <w:pStyle w:val="24"/>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61DE9C">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161DE9C">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BBDADC2"/>
    <w:multiLevelType w:val="singleLevel"/>
    <w:tmpl w:val="7BBDADC2"/>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EA2372"/>
    <w:rsid w:val="34EF4B01"/>
    <w:rsid w:val="3FF77568"/>
    <w:rsid w:val="73CFB6F0"/>
    <w:rsid w:val="77EDD7A2"/>
    <w:rsid w:val="7BBDB677"/>
    <w:rsid w:val="7F6F7A55"/>
    <w:rsid w:val="9EDF2B54"/>
    <w:rsid w:val="BF3C54D5"/>
    <w:rsid w:val="EEA7D744"/>
    <w:rsid w:val="EFFDD3F2"/>
    <w:rsid w:val="F4FED783"/>
    <w:rsid w:val="F7F03445"/>
    <w:rsid w:val="FBEC401B"/>
    <w:rsid w:val="FBFE624D"/>
    <w:rsid w:val="FE691249"/>
    <w:rsid w:val="FEFFA87A"/>
    <w:rsid w:val="FF9F684E"/>
    <w:rsid w:val="FFFE1F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楷体" w:hAnsi="楷体" w:eastAsia="楷体"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2236</Words>
  <Characters>2357</Characters>
  <Lines>0</Lines>
  <Paragraphs>0</Paragraphs>
  <TotalTime>12</TotalTime>
  <ScaleCrop>false</ScaleCrop>
  <LinksUpToDate>false</LinksUpToDate>
  <CharactersWithSpaces>2474</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2013-12-27T23:15:00Z</dcterms:created>
  <dc:creator>python-docx</dc:creator>
  <dc:description>generated by python-docx</dc:description>
  <cp:lastModifiedBy>WHF｜DHHT</cp:lastModifiedBy>
  <dcterms:modified xsi:type="dcterms:W3CDTF">2026-03-20T22:50:50Z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1CD2208DD95A1EF0CA5EBD69D460B007_43</vt:lpwstr>
  </property>
</Properties>
</file>