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r>
              <w:rPr>
                <w:rFonts w:ascii="Malgun Gothic" w:hAnsi="Malgun Gothic"/>
                <w:b w:val="0"/>
                <w:sz w:val="18"/>
              </w:rPr>
              <w:t>Patient 01</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0325-01</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t>0325-01</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MYD88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ENST00000417037.2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ENSP00000401399.2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c.818T&gt;C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p.Leu273Pro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12.93%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BTK inhibitors (ibrutinib) - MYD88 L265P/L273P</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p.Gly28Asp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19.63%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ENST00000392795.3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ENSP00000376544.3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p.Tyr197Ser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BTK inhibitors (ibrutinib)</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p.Pro33Ser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c.230G&gt;T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p.Trp77Leu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17.04%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c.480C&gt;G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p.Asn160Lys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c.1888G&gt;C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p.Ala630Pro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c.373C&gt;T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p.Pro125Ser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9.24%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c.290G&gt;A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p.Ser97Asn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c.544C&gt;T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p.Leu182Phe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B2M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ENST00000558401.1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ENSP00000452780.1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c.70_86del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p.Thr24LeufsTer27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p.Leu20Gln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ENSP00000362608.5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c.43_58del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p.Ala15CysfsTer74</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SF3B1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ENST00000335508.6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ENSP00000335321.5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c.1844C&gt;G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p.Pro615Arg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c.7098A&gt;T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p.Glu2366Asp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c.2374G&gt;A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p.Ala792Thr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c.2318A&gt;G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p.Gln773Arg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p.Arg755Gln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35.22%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31.07%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c.83-16C&gt;T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30.09%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PIM1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ENST00000373509.5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c.83-12C&gt;T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19.94%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18.21%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EGFR</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ENST00000275493.2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ENSP00000275493.2</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c.2224G&gt;A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p.Val742Ile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14.65%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p.Lys339Asn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6.88%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p.Arg284Gln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6.52%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p.Asp348Asn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5.87%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c.2263C&gt;T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p.Gln755Ter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FBXW7</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ENST00000281708.4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c.585-17T&gt;C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3.21%</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c.1033-7dup</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c.2128-18_2128-16delinsCTT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MYD88 p.Leu273Pro (c.818T&gt;C, VAF 12.93%) pathogenic 변이가 검출되었습니다. MYD88 L265P/L273P 변이는 ABC-DLBCL (activated B-cell type)의 가장 특징적인 변이로, 약 30%의 ABC-DLBCL에서 발견됩니다. MYD88 변이 양성 DLBCL은 BTK inhibitor (ibrutinib)에 대한 반응률이 높은 것으로 보고됩니다 (Wilson et al., Nat Med. 2015).</w:t>
              <w:br/>
              <w:br/>
              <w:t>CD79B p.Tyr197Ser (VAF 19.55%) 변이가 동시 검출되었습니다. MYD88 + CD79B 동시 변이는 MCD (MYD88/CD79B double-mutant) molecular subtype을 정의하며, BTK inhibitor에 대한 반응률이 특히 높습니다 (약 80% ORR, Schmitz et al., NEJM 2018).</w:t>
              <w:br/>
              <w:br/>
              <w:t>PIM1에서 다수의 missense 변이 (9개)가 검출되었으며, 이는 aberrant somatic hypermutation (aSHM)의 결과로 해석됩니다. PIM1 hypermutation은 ABC-DLBCL에서 흔히 관찰됩니다.</w:t>
              <w:br/>
              <w:br/>
              <w:t>NOTCH2 frameshift (p.Pro6ArgfsTer27, VAF 13.68%), CARD11 p.Ala630Pro (VAF 10.35%), KMT2D 변이 클러스터, B2M frameshift (p.Thr24LeufsTer27, VAF 7.56%)가 검출되었습니다. B2M 변이는 MHC class I 발현 저하로 인한 면역 회피 기전에 관여합니다.</w:t>
              <w:br/>
              <w:br/>
              <w:t>종합적으로 MYD88 + CD79B 동시 변이, PIM1 hypermutation, NOTCH2/CARD11 변이 패턴은 ABC-DLBCL (MCD subtype)에 부합하며, BTK inhibitor 기반 치료의 적응증이 됩니다.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39 | Tier 1: 1 | Tier 2: 20 | Tier 3: 18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