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02</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0325-02</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0325-02</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c.373C&gt;T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p.Pro125Ser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c.248G&gt;T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83.48%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p.Glu135Gln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p.His46Gln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c.182A&gt;G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p.Lys61Arg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c.238C&gt;G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p.Arg80Gly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33.37%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c.523_529del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p.Ile175LeufsTer35</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32.74%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CD58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ENST00000369489.5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ENSP00000358501.5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c.552_553del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p.Lys184AsnfsTer6</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c.519_520delinsAG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29.54%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c.836A&gt;C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p.Gln279Pro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p.Ser18Thr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c.6497T&gt;C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p.Val2166Ala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p.Pro194Ala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c.159C&gt;G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p.Tyr53Ter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c.523_528del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p.Ile175_Val176del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p.Ala223Thr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c.296G&gt;C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p.Gly99Ala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c.83-16C&gt;T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81.06%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c.83-5_83-4delinsAT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70.64%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c.14644-9C&gt;T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48.26%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38.14%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c.190-13C&gt;A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36.49%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29.19%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7.16%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c.1173C&gt;A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p.Cys391Ter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6.43%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c.2294A&gt;G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p.Glu765Gly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c.1013-2_1013delinsGGT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c.1033-16_1033-15insATT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본 검체에서 Tier 1 변이는 검출되지 않았으나, 다수의 Tier 2 드라이버 변이가 존재합니다.</w:t>
              <w:br/>
              <w:br/>
              <w:t>PIM1에서 11개의 missense 및 nonsense 변이가 검출되었으며, 높은 VAF (최대 86.04%)를 보입니다. 이는 aberrant somatic hypermutation (aSHM)의 전형적인 패턴으로, DLBCL의 발생 기전에 관여합니다.</w:t>
              <w:br/>
              <w:br/>
              <w:t>GNA13에서 3개의 변이 (splice site, p.Lys61Arg, p.Gln27His)가 검출되었습니다 (VAF ~40%). GNA13 변이는 GCB-DLBCL의 약 25%에서 발견되며, germinal center confinement 결함과 관련됩니다.</w:t>
              <w:br/>
              <w:br/>
              <w:t>MYC p.Arg80Gly (VAF 33.37%) 변이가 검출되었습니다. MYC transactivation domain 변이는 단백질 안정성을 증가시켜 종양 발생에 기여합니다.</w:t>
              <w:br/>
              <w:br/>
              <w:t>CD79B frameshift (p.Ile175LeufsTer35, VAF 32.74%), CD58 frameshift (p.Lys184AsnfsTer6, VAF 30.66%)가 검출되었습니다. CD58 기능 상실은 NK cell 매개 면역 회피 기전의 핵심입니다.</w:t>
              <w:br/>
              <w:br/>
              <w:t>MEF2B 3개 변이 (p.Met1?, p.Leu269Val, p.Gln279Pro), CREBBP, ARID1A, BRAF p.Leu711Ile 변이가 동시 검출되었습니다.</w:t>
              <w:br/>
              <w:br/>
              <w:t>GNA13 + MEF2B + PIM1 hypermutation 패턴은 GCB-DLBCL에 부합하며, MYC 변이와 CD58 면역 회피 기전이 동시에 존재합니다.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50 | Tier 1: 0 | Tier 2: 29 | Tier 3: 21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