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04</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0325-04</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c.6115G&gt;A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p.Glu2039Lys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c.698A&gt;T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p.Tyr233Phe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c.1291_1293delinsAGT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p.Gly431Ser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c.2890C&gt;T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p.Gln964Ter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p.Ser303Arg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40.61%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c.5053G&gt;T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p.Ala1685Ser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9.95%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p.Ile2505Lys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c.7465C&gt;A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p.His2489Asn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c.2459C&gt;T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p.Thr820Ile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c.671T&gt;G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p.Val224Gly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XPO1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ENST00000401558.2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c.591-14G&gt;T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p.Ile774Phe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c.2189C&gt;A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p.Ser730Tyr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ATM p.Glu2039Lys (VAF 3.06%)가 Tier 1 pathogenic 변이로 검출되었습니다. ATM kinase domain 변이는 DNA damage response 결함을 유발합니다.</w:t>
              <w:br/>
              <w:br/>
              <w:t>TCF3 p.Gly431Ser (VAF 40.23%)는 E2A/TCF3 전사인자의 DNA binding domain 변이로, GCB-DLBCL에서 흔히 발견됩니다.</w:t>
              <w:br/>
              <w:br/>
              <w:t>MEF2B p.Leu269Val (VAF 14.56%)는 4개 환자 모두에서 반복 검출되는 GCB-DLBCL 특이 hotspot 변이입니다. MEF2B는 BCL6 전사 활성화의 핵심 조절인자입니다.</w:t>
              <w:br/>
              <w:br/>
              <w:t>NOTCH2 frameshift (p.Pro6ArgfsTer27, VAF 14.45%), CREBBP p.Val1956Gly (VAF 10.53%), TET2 p.Gln964Ter (VAF 5.74%)가 검출되었습니다. TET2 truncating 변이는 CHIP 기원 가능성을 고려해야 합니다.</w:t>
              <w:br/>
              <w:br/>
              <w:t>STAT6 p.Gln65Pro (VAF 4.89%)는 JAK/STAT pathway 활성화 변이입니다.</w:t>
              <w:br/>
              <w:br/>
              <w:t>KMT2C/KMT2D 변이 클러스터가 검출되어 히스톤 methylation 조절 이상이 확인됩니다.</w:t>
              <w:br/>
              <w:br/>
              <w:t>TCF3, MEF2B, KMT2D 변이의 동시 검출은 GCB-DLBCL 분자 아형에 부합합니다. ATM 변이는 PARP inhibitor 감수성과 관련될 수 있습니다.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32 | Tier 1: 1 | Tier 2: 11 | Tier 3: 20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