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05</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0325-05</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p.Leu145Gln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DNA damage agents; consider venetoclax combinations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p.Glu54Asp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c.2236G&gt;T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p.Glu746Ter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p.Gln14Ter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c.1463G&gt;A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p.Arg488His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p.Pro274Ser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p.Val92Glu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c.1517G&gt;A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p.Arg506Lys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c.300+1G&gt;C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ENSP00000363689.5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p.Leu64Phe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p.Tyr89Asp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p.Glu44Asp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p.Gln49His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c.792C&gt;G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p.Ser264Arg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p.Glu268Gln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c.674_682del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p.Val225_Ser227del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DNA damage agents; consider venetoclax combinations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p.Ser281Ala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11.44%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p.His725Asn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p.Trp278Gly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c.1159G&gt;C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p.Ala387Pro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p.Leu397Gln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p.Leu743Phe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p.Lys94Asn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p.Met397Lys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c.6403T&gt;G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p.Leu2135Val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p.Ile389Asn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p.Thr4629Pro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c.2275A&gt;C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p.Lys759Gln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c.982G&gt;C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c.881+2T&gt;G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p.Cys349Trp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c.5822A&gt;C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p.Gln1910Pro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c.1069A&gt;T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p.Met357Leu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p.Glu562Lys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c.1067A&gt;T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p.Asn91Thr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p.Ser1912Ala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c.1651T&gt;G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p.Tyr551Asp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c.2280C&gt;A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p.Phe760Leu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p.Leu1972Arg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p.Phe2066Val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p.Val1933Gly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p.Val357Gly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c.4745T&gt;G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p.Ile1582Ser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p.Asn216Thr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p.Val1914Gly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p.Asn80Lys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p.Thr411Pro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c.1244T&gt;A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p.Met415Lys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p.Glu185Ter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STAT5B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ENST00000293328.3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ENSP00000293328.3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p.Ser408Thr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p.Lys2078Gln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c.1185C&gt;A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p.Asp395Glu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p.Asn186Lys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p.Thr766Lys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p.Asn280Thr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p.Asp408Val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c.13957A&gt;C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p.Lys4653Gln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c.6634C&gt;A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p.Leu2212Ile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c.1225G&gt;C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p.Leu341Met</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c.518A&gt;C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p.His173Pro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c.14801T&gt;G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p.Val4934Gly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p.Thr235Ser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p.Ser337Arg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c.5810A&gt;C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p.Lys1937Thr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p.Ile2062Leu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p.Ile301Asn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p.Asn63Thr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p.Gly303Ser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p.Leu191Phe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ENST00000378444.4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ENSP00000367705.4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c.3069C&gt;A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p.Phe1023Leu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ENST00000227507.2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ENSP00000227507.2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p.Met82Leu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p.Arg103Pro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c.1349C&gt;T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p.Thr450Ile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c.11717T&gt;A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p.Leu3906Gln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c.1807T&gt;G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p.Phe603Val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c.1360G&gt;C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p.Ala454Pro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c.778C&gt;T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p.Gln260Ter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p.Asp354Glu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p.Asp67Ala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p.Asp286Gly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PTEN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ENST00000371953.3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ENSP00000361021.3</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c.723T&gt;C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p.Phe241=</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c.31-16G&gt;A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26.29%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16.86%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c.865-10T&gt;A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c.865-17T&gt;A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10.02%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p.Glu287Val</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6.76%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p.Ile2505Lys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c.3501+5G&gt;T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p.Arg894Gln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p.Leu221Arg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c.162-1G&gt;T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ASXL1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ENST00000375687.4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ENSP00000364839.4</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p.Trp13Gly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TP53 p.Leu145Gln (VAF 43.25%)이 주요 드라이버 변이로 검출되었습니다. DNA binding domain 변이는 tumor suppressor 기능 상실을 유발하며, DLBCL의 독립적 예후 불량 인자입니다.</w:t>
              <w:br/>
              <w:br/>
              <w:t>MYC에서 다수의 변이가 검출되었습니다: p.Glu54Asp (VAF 35.19%, Tier 1), p.Tyr89Asp (VAF 40.56%), p.Glu44Asp (VAF 37.11%), p.Gln49His (VAF 34.84%) 등. MYC N-terminal transactivation domain 변이 클러스터는 단백질 안정성 증가와 oncogenic activity 강화를 유발합니다.</w:t>
              <w:br/>
              <w:br/>
              <w:t>ID3에서 splice site (c.300+1G&gt;C, VAF 41.34%) 및 p.Leu64Phe (VAF 40.95%) 변이가 검출되었습니다. ID3 기능 상실 변이는 Burkitt lymphoma의 70%에서 발견되며, TCF3 활성을 증가시켜 MYC 발현을 촉진합니다.</w:t>
              <w:br/>
              <w:br/>
              <w:t>RB1 p.Glu746Ter (VAF 10.84%) truncating 변이와 DDX3X에서 3개의 pathogenic 변이 (p.Gln14Ter, p.Arg488His, p.Pro274Ser)가 검출되었습니다. DDX3X는 RNA helicase로 번역 조절에 관여합니다.</w:t>
              <w:br/>
              <w:br/>
              <w:t>GNA13 p.Val92Glu (VAF 60.80%), CCND3 변이 클러스터 (p.Val67Gly, splice, p.Cys73Gly)가 동시 검출되었습니다. CCND3 C-terminal 변이는 단백질 안정성 증가를 유발합니다.</w:t>
              <w:br/>
              <w:br/>
              <w:t>TP53 + MYC + ID3 + CCND3 동시 변이 패턴은 high-grade B-cell lymphoma (HGBL) 또는 Burkitt-like lymphoma를 강력히 시사합니다. MYC rearrangement에 대한 FISH 검사가 권장되며, 고강도 항암요법 (DA-EPOCH-R 또는 CODOX-M/IVAC)을 고려해야 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163 | Tier 1: 6 | Tier 2: 127 | Tier 3: 30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