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A2659" w14:textId="45DFD688" w:rsidR="00920EA9" w:rsidRDefault="00EF0C53">
      <w:r>
        <w:t>16 BLUE FLASH 16APR2021</w:t>
      </w:r>
    </w:p>
    <w:p w14:paraId="3735F68C" w14:textId="2C403C37" w:rsidR="00EF0C53" w:rsidRDefault="00EF0C53"/>
    <w:p w14:paraId="782B9F0D" w14:textId="2AC4FE84" w:rsidR="005C6F46" w:rsidRPr="00285B94" w:rsidRDefault="005C6F46" w:rsidP="005C6F46">
      <w:pPr>
        <w:rPr>
          <w:b/>
          <w:bCs/>
        </w:rPr>
      </w:pPr>
      <w:r w:rsidRPr="00285B94">
        <w:rPr>
          <w:b/>
          <w:bCs/>
        </w:rPr>
        <w:t>United States v. Cloud   4thCIR   12APR2021</w:t>
      </w:r>
    </w:p>
    <w:p w14:paraId="3752DE47" w14:textId="497FBD4F" w:rsidR="00EF0C53" w:rsidRDefault="003E1093" w:rsidP="005C6F46">
      <w:r>
        <w:t>The Fourth Circuit had two issues presented in this case. The first issue was whether the defendant was "seized" so as to implicate Fourth Amendment protections.  If the defendant was seized, then the second issue was whether the warrantless seizure was reasonable.  Regarding the first issue, t</w:t>
      </w:r>
      <w:r w:rsidR="005C6F46">
        <w:t>he court concluded that the Fourth Amendment was not implicated during defendant's encounter with police on April 7, because he never acquiesced (passively or otherwise) to a show of authority. Furthermore, even assuming that defendant acquiesced to a show of authority, there was a reasonable articulable suspicion to support the seizure in order to investigate who owned the firearm that the officer observed. In this case, the district court's reasonable suspicion determination rested on four factors: (1) the officer saw someone hide a firearm under defendant's seat; (2) defendant's claim of control over the Dodge; (3) defendant being the only adult associated with the Dodge; and (4) the time of day and location of the incident.</w:t>
      </w:r>
      <w:r>
        <w:t xml:space="preserve"> Accordingly, the Fourth Circuit affirmed the district court's denial of defendant's motion to suppress a firearm.</w:t>
      </w:r>
    </w:p>
    <w:p w14:paraId="52963A01" w14:textId="0AE69015" w:rsidR="005C6F46" w:rsidRDefault="005C6F46" w:rsidP="005C6F46">
      <w:r>
        <w:t xml:space="preserve">Tags: Seizure, Reasonable Suspicion, Terry Stop, </w:t>
      </w:r>
    </w:p>
    <w:p w14:paraId="4A323BE9" w14:textId="28ECB417" w:rsidR="005C6F46" w:rsidRDefault="000E0E50" w:rsidP="005C6F46">
      <w:r w:rsidRPr="000E0E50">
        <w:t>https://drive.google.com/file/d/17krvYAdWtYFtvwP_HO2FwOziNy9skqHv/view?usp=sharing</w:t>
      </w:r>
      <w:r>
        <w:t xml:space="preserve"> </w:t>
      </w:r>
    </w:p>
    <w:p w14:paraId="3D98C5E5" w14:textId="77777777" w:rsidR="000E0E50" w:rsidRDefault="000E0E50" w:rsidP="005C6F46"/>
    <w:p w14:paraId="63664802" w14:textId="6086914F" w:rsidR="00541F3F" w:rsidRPr="00285B94" w:rsidRDefault="00541F3F" w:rsidP="00541F3F">
      <w:pPr>
        <w:rPr>
          <w:b/>
          <w:bCs/>
        </w:rPr>
      </w:pPr>
      <w:r w:rsidRPr="00285B94">
        <w:rPr>
          <w:b/>
          <w:bCs/>
        </w:rPr>
        <w:t>United States v. Outland   7thCIR   14APR2021</w:t>
      </w:r>
    </w:p>
    <w:p w14:paraId="3ECD25A5" w14:textId="45C8CEE2" w:rsidR="003E5B14" w:rsidRDefault="003E5B14" w:rsidP="00541F3F">
      <w:r w:rsidRPr="003E5B14">
        <w:t xml:space="preserve">Tags: </w:t>
      </w:r>
      <w:r>
        <w:t xml:space="preserve">Confession, </w:t>
      </w:r>
      <w:r w:rsidRPr="003E5B14">
        <w:t>Miranda</w:t>
      </w:r>
      <w:r>
        <w:t>,</w:t>
      </w:r>
      <w:r w:rsidRPr="003E5B14">
        <w:t xml:space="preserve"> Waiver</w:t>
      </w:r>
    </w:p>
    <w:p w14:paraId="702A7A94" w14:textId="75B1BDD9" w:rsidR="00541F3F" w:rsidRDefault="00541F3F" w:rsidP="00541F3F">
      <w:r>
        <w:t>Defendant appealed the district court's denial of his motion to suppress incriminating statements which led to federal charges for distributing heroin. In this case, after defendant overdosed on heroin and fell unconscious, officers brought him to a local hospital where, after receiving care, he agreed to talk to the police, received Miranda warnings, and made several incriminating statements. The Seventh Circuit remanded for the district court to make a determination on the validation of defendant's waiver of his Miranda rights in the first instance. The court explained that whether a defendant knowingly and intelligently waived his rights at the outset of a police interview is a distinct and separate inquiry from whether, in the circumstances of the interview as a whole, the defendant's statements were voluntary. Given defendant was unconscious and entirely incapacitated from an overdose just two hours before police questioned him, a finding as to whether defendant knowingly and intelligently waived his Miranda rights matters.</w:t>
      </w:r>
    </w:p>
    <w:p w14:paraId="70583D68" w14:textId="2438AB49" w:rsidR="003E5B14" w:rsidRDefault="003E5B14" w:rsidP="00541F3F">
      <w:hyperlink r:id="rId4" w:history="1">
        <w:r w:rsidRPr="003E5B14">
          <w:rPr>
            <w:rStyle w:val="Hyperlink"/>
          </w:rPr>
          <w:t>Click here to read or download the full decision.</w:t>
        </w:r>
      </w:hyperlink>
    </w:p>
    <w:p w14:paraId="4B17527F" w14:textId="0107376A" w:rsidR="00541F3F" w:rsidRDefault="000E0E50" w:rsidP="00541F3F">
      <w:r w:rsidRPr="000E0E50">
        <w:t>https://drive.google.com/file/d/1uZq80AMbti9ipjUHfntJGVYqGlT1-XVQ/view?usp=sharing</w:t>
      </w:r>
      <w:r>
        <w:t xml:space="preserve"> </w:t>
      </w:r>
    </w:p>
    <w:p w14:paraId="0CE59808" w14:textId="77777777" w:rsidR="000E0E50" w:rsidRDefault="000E0E50" w:rsidP="00541F3F"/>
    <w:p w14:paraId="7FD63ACE" w14:textId="43EAB991" w:rsidR="00541F3F" w:rsidRPr="00285B94" w:rsidRDefault="00541F3F" w:rsidP="00541F3F">
      <w:pPr>
        <w:rPr>
          <w:b/>
          <w:bCs/>
        </w:rPr>
      </w:pPr>
      <w:r w:rsidRPr="00285B94">
        <w:rPr>
          <w:b/>
          <w:bCs/>
        </w:rPr>
        <w:t>United States v. Mayweather   8thCIR   9APR2021</w:t>
      </w:r>
    </w:p>
    <w:p w14:paraId="3E87D259" w14:textId="60CF6106" w:rsidR="003E5B14" w:rsidRDefault="003E5B14" w:rsidP="00541F3F">
      <w:r w:rsidRPr="003E5B14">
        <w:t xml:space="preserve">Tags: </w:t>
      </w:r>
      <w:r>
        <w:t xml:space="preserve">Leon </w:t>
      </w:r>
      <w:r w:rsidRPr="003E5B14">
        <w:t>Good Faith Exception, Franks Hearing</w:t>
      </w:r>
    </w:p>
    <w:p w14:paraId="3F5489EF" w14:textId="792293AA" w:rsidR="00541F3F" w:rsidRDefault="00541F3F" w:rsidP="00541F3F">
      <w:r>
        <w:lastRenderedPageBreak/>
        <w:t>The Eighth Circuit affirmed the district court's denial of defendant's motion to suppress and motion for a Franks hearing after he was convicted of one count of possession with intent to distribute cocaine base and cocaine. In regard to the motion to suppress, the court concluded that, even if the warrant affidavit lacked probable cause, the good faith exception applies in this case because the issuing judge could have logically inferred that defendant stored contraband at his residence. Therefore, the officer's reliance on the search warrant was objectively reasonable. In regard to the motion for a Franks hearing, the court also concluded that defendant has not made a substantial preliminary showing that the statements at issue were false and defendant waived his GPS-related argument.</w:t>
      </w:r>
    </w:p>
    <w:p w14:paraId="2EBDAC0B" w14:textId="215153F2" w:rsidR="003E5B14" w:rsidRDefault="003E5B14" w:rsidP="003E5B14">
      <w:hyperlink r:id="rId5" w:history="1">
        <w:r w:rsidRPr="003E5B14">
          <w:rPr>
            <w:rStyle w:val="Hyperlink"/>
          </w:rPr>
          <w:t>Click here to read or download the full decision.</w:t>
        </w:r>
      </w:hyperlink>
    </w:p>
    <w:p w14:paraId="07FC5BF6" w14:textId="4C6B4F18" w:rsidR="000E0E50" w:rsidRDefault="000E0E50" w:rsidP="00541F3F">
      <w:r w:rsidRPr="000E0E50">
        <w:t>https://drive.google.com/file/d/1bcIS5ftQzgYxFmRCIR8qm7DR_vtwoXje/view?usp=sharing</w:t>
      </w:r>
      <w:r>
        <w:t xml:space="preserve"> </w:t>
      </w:r>
    </w:p>
    <w:p w14:paraId="50DE1345" w14:textId="77777777" w:rsidR="000E0E50" w:rsidRDefault="000E0E50" w:rsidP="00541F3F"/>
    <w:p w14:paraId="467E7350" w14:textId="6F04F2D3" w:rsidR="00EA5FC4" w:rsidRPr="00285B94" w:rsidRDefault="00EA5FC4" w:rsidP="00EA5FC4">
      <w:pPr>
        <w:rPr>
          <w:b/>
          <w:bCs/>
        </w:rPr>
      </w:pPr>
      <w:r w:rsidRPr="00285B94">
        <w:rPr>
          <w:b/>
          <w:bCs/>
        </w:rPr>
        <w:t xml:space="preserve">Compos v. Colorado   </w:t>
      </w:r>
      <w:proofErr w:type="spellStart"/>
      <w:r w:rsidRPr="00285B94">
        <w:rPr>
          <w:b/>
          <w:bCs/>
        </w:rPr>
        <w:t>COSupCt</w:t>
      </w:r>
      <w:proofErr w:type="spellEnd"/>
      <w:r w:rsidRPr="00285B94">
        <w:rPr>
          <w:b/>
          <w:bCs/>
        </w:rPr>
        <w:t xml:space="preserve">   12APR2021</w:t>
      </w:r>
    </w:p>
    <w:p w14:paraId="40670C1E" w14:textId="4C343F79" w:rsidR="003E5B14" w:rsidRDefault="003E5B14" w:rsidP="00EA5FC4">
      <w:r w:rsidRPr="003E5B14">
        <w:t>Tags: Miranda, Routine Booking Question</w:t>
      </w:r>
      <w:r>
        <w:t xml:space="preserve"> Exception</w:t>
      </w:r>
    </w:p>
    <w:p w14:paraId="27181425" w14:textId="7C6EC420" w:rsidR="00F07AF6" w:rsidRDefault="00EA5FC4" w:rsidP="00EA5FC4">
      <w:r>
        <w:t xml:space="preserve">After dating for a few weeks, Vincent Compos and his ex-girlfriend ended their relationship; the ex-girlfriend obtained a protection order prohibiting Compos from contacting her. Shortly after the relationship ended, Compos appeared at a Super Bowl party that the ex-girlfriend and her children were also attending. Later that evening, Compos arrived uninvited at the ex-girlfriend’s home and let himself inside. The two began arguing, and during this argument, Compos threatened to kill the ex-girlfriend and her family. Compos then pulled out a gun and pointed it at the ex-girlfriend and her son. The ex-girlfriend called police; police were given permission to enter her house. There, police found </w:t>
      </w:r>
      <w:r w:rsidR="00942D21">
        <w:t>Compos,</w:t>
      </w:r>
      <w:r>
        <w:t xml:space="preserve"> and took him into custody. One of the officers spoke with Compos outside a patrol car. The officer asked Compos his name, to which Compos falsely responded “John Rocha” and provided a birthdate. Although the officer was aware of at least one protection order restricting </w:t>
      </w:r>
      <w:proofErr w:type="spellStart"/>
      <w:r>
        <w:t>Compos’s</w:t>
      </w:r>
      <w:proofErr w:type="spellEnd"/>
      <w:r>
        <w:t xml:space="preserve"> activities, and although the officer also knew that Compos was on bond, he did not provide Miranda warnings before asking Compos his name. The issues presented for the Colorado Supreme Court were: (1) whether </w:t>
      </w:r>
      <w:proofErr w:type="spellStart"/>
      <w:r>
        <w:t>Compos’s</w:t>
      </w:r>
      <w:proofErr w:type="spellEnd"/>
      <w:r>
        <w:t xml:space="preserve"> Miranda rights were violated when, after taking him into custody but prior to providing him with Miranda warnings, the police asked him his name; and (2) whether the division below erred in establishing a “new crime exception” to Miranda v. Arizona, 384 U.S. 436 (1966), and applying it here. The Supreme Court concluded the question as to </w:t>
      </w:r>
      <w:proofErr w:type="spellStart"/>
      <w:r>
        <w:t>Compos’s</w:t>
      </w:r>
      <w:proofErr w:type="spellEnd"/>
      <w:r>
        <w:t xml:space="preserve"> name amounted to a custodial interrogation, </w:t>
      </w:r>
      <w:proofErr w:type="gramStart"/>
      <w:r>
        <w:t>but,</w:t>
      </w:r>
      <w:proofErr w:type="gramEnd"/>
      <w:r>
        <w:t xml:space="preserve"> on the facts presented here, </w:t>
      </w:r>
      <w:proofErr w:type="spellStart"/>
      <w:r>
        <w:t>Compos’s</w:t>
      </w:r>
      <w:proofErr w:type="spellEnd"/>
      <w:r>
        <w:t xml:space="preserve"> response was admissible at trial because the question was akin to the type of routine booking question that has been deemed to be excepted from Miranda’s reach. For this reason, the Court affirmed the judgment of the division below, albeit on other grounds, and in light of this determination, the Court did not consider, and thus vacated, the portion of the division’s judgment establishing, </w:t>
      </w:r>
      <w:proofErr w:type="spellStart"/>
      <w:r>
        <w:t>sua</w:t>
      </w:r>
      <w:proofErr w:type="spellEnd"/>
      <w:r>
        <w:t xml:space="preserve"> sponte, a new crime exception to Miranda.</w:t>
      </w:r>
    </w:p>
    <w:p w14:paraId="3F7A4CEC" w14:textId="78F5B6E9" w:rsidR="003E5B14" w:rsidRDefault="003E5B14" w:rsidP="003E5B14">
      <w:hyperlink r:id="rId6" w:history="1">
        <w:r w:rsidRPr="003E5B14">
          <w:rPr>
            <w:rStyle w:val="Hyperlink"/>
          </w:rPr>
          <w:t>Click here to read or download the full decision.</w:t>
        </w:r>
      </w:hyperlink>
    </w:p>
    <w:p w14:paraId="3D433C23" w14:textId="0035F618" w:rsidR="00F07AF6" w:rsidRDefault="000E0E50" w:rsidP="00EA5FC4">
      <w:r w:rsidRPr="000E0E50">
        <w:t>https://drive.google.com/file/d/1_Tvt0s1z-gVvmypIcZIXc8b_bLhjFzi2/view?usp=sharing</w:t>
      </w:r>
      <w:r>
        <w:t xml:space="preserve"> </w:t>
      </w:r>
    </w:p>
    <w:p w14:paraId="312EAC98" w14:textId="66A00DB2" w:rsidR="000E0E50" w:rsidRDefault="000E0E50" w:rsidP="00EA5FC4"/>
    <w:p w14:paraId="26A618F6" w14:textId="520D1DC4" w:rsidR="00413709" w:rsidRPr="00285B94" w:rsidRDefault="00413709" w:rsidP="00413709">
      <w:pPr>
        <w:rPr>
          <w:b/>
          <w:bCs/>
        </w:rPr>
      </w:pPr>
      <w:r w:rsidRPr="00285B94">
        <w:rPr>
          <w:b/>
          <w:bCs/>
        </w:rPr>
        <w:t xml:space="preserve">People v. Bass   </w:t>
      </w:r>
      <w:proofErr w:type="spellStart"/>
      <w:r w:rsidRPr="00285B94">
        <w:rPr>
          <w:b/>
          <w:bCs/>
        </w:rPr>
        <w:t>ILSupCt</w:t>
      </w:r>
      <w:proofErr w:type="spellEnd"/>
      <w:r w:rsidRPr="00285B94">
        <w:rPr>
          <w:b/>
          <w:bCs/>
        </w:rPr>
        <w:t xml:space="preserve">   15APR2021</w:t>
      </w:r>
    </w:p>
    <w:p w14:paraId="3AC77DC2" w14:textId="77777777" w:rsidR="003E5B14" w:rsidRDefault="003E5B14" w:rsidP="00413709"/>
    <w:p w14:paraId="61268E8A" w14:textId="5917C298" w:rsidR="003E5B14" w:rsidRDefault="003E5B14" w:rsidP="00413709">
      <w:r w:rsidRPr="003E5B14">
        <w:t xml:space="preserve">Tags:  </w:t>
      </w:r>
      <w:r>
        <w:t xml:space="preserve">Traffic Stop, </w:t>
      </w:r>
      <w:r w:rsidRPr="003E5B14">
        <w:t>Rodriguez Violation, Extended Traffic Stop</w:t>
      </w:r>
    </w:p>
    <w:p w14:paraId="639479AF" w14:textId="12304728" w:rsidR="00413709" w:rsidRDefault="00413709" w:rsidP="00413709">
      <w:r>
        <w:t xml:space="preserve">During a routine traffic stop, officers ran a name check on Bass, a passenger, which returned an investigative alert issued by the Chicago Police Department for an alleged sexual assault. Bass was arrested and made incriminating statements to investigators. The court denied a motion to suppress those statements and found him guilty of criminal sexual assault. The appellate court reversed, holding that the traffic stop violated the Fourth Amendment because it was unlawfully prolonged, that Illinois Constitution article I, section 6, provides greater protections than the Fourth Amendment, and that arrests based on investigative alerts, even those supported by probable cause, violate the Illinois Constitution. The Illinois Supreme Court affirmed the reversal of Bass’s conviction, relying solely on the Fourth Amendment, without addressing investigatory alerts or the state constitution. The state failed to meet its burden of showing that the stop was not unlawfully prolonged. Officers cannot lawfully pursue unrelated investigations after quickly completing the mission by claiming that the overall duration of the stop (here, about eight minutes) remained reasonable, nor by waiting to resolve the mission (by writing a ticket or giving a verbal warning) until unrelated inquiries are completed. The name check was unrelated to resolving the </w:t>
      </w:r>
      <w:r w:rsidR="00942D21">
        <w:t>red-light</w:t>
      </w:r>
      <w:r>
        <w:t xml:space="preserve"> violation; the officers resolved the traffic violation and then waited to issue the verbal warning so that they could engage in on-scene investigations into other crimes by checking names until they found something worth investigating.</w:t>
      </w:r>
    </w:p>
    <w:p w14:paraId="1BE1C867" w14:textId="5BB5D4DF" w:rsidR="003E5B14" w:rsidRDefault="003E5B14" w:rsidP="003E5B14">
      <w:hyperlink r:id="rId7" w:history="1">
        <w:r w:rsidRPr="003E5B14">
          <w:rPr>
            <w:rStyle w:val="Hyperlink"/>
          </w:rPr>
          <w:t>Click here to read or download the full decision.</w:t>
        </w:r>
      </w:hyperlink>
    </w:p>
    <w:p w14:paraId="78EFA033" w14:textId="77777777" w:rsidR="003E5B14" w:rsidRDefault="003E5B14" w:rsidP="00413709"/>
    <w:p w14:paraId="0CC70734" w14:textId="4B0C7231" w:rsidR="00413709" w:rsidRDefault="000E0E50" w:rsidP="00413709">
      <w:r w:rsidRPr="000E0E50">
        <w:t>https://drive.google.com/file/d/1OgihPBejzLTI-LTFBJJ-3NTC1SQa8vxi/view?usp=sharing</w:t>
      </w:r>
      <w:r>
        <w:t xml:space="preserve"> </w:t>
      </w:r>
    </w:p>
    <w:p w14:paraId="108CC13C" w14:textId="77777777" w:rsidR="000E0E50" w:rsidRDefault="000E0E50" w:rsidP="00413709"/>
    <w:p w14:paraId="08EE8C03" w14:textId="3D5D385A" w:rsidR="00285B94" w:rsidRPr="00285B94" w:rsidRDefault="00285B94" w:rsidP="00285B94">
      <w:pPr>
        <w:rPr>
          <w:b/>
          <w:bCs/>
        </w:rPr>
      </w:pPr>
      <w:r w:rsidRPr="00285B94">
        <w:rPr>
          <w:b/>
          <w:bCs/>
        </w:rPr>
        <w:t>Martinez v. Texas   TXCCA   14APR2021</w:t>
      </w:r>
    </w:p>
    <w:p w14:paraId="0DD4E44E" w14:textId="1515D1D7" w:rsidR="003E5B14" w:rsidRDefault="003E5B14" w:rsidP="00285B94">
      <w:r w:rsidRPr="003E5B14">
        <w:t>Tag: Statement Suppression</w:t>
      </w:r>
      <w:r>
        <w:t>, Unlawful Arrest</w:t>
      </w:r>
    </w:p>
    <w:p w14:paraId="236D2D03" w14:textId="72FA77DA" w:rsidR="00285B94" w:rsidRDefault="00285B94" w:rsidP="00285B94">
      <w:r>
        <w:t xml:space="preserve">After the trial court denied his motion to suppress his confession, Appellant Jesse Martinez pled guilty to murder and was sentenced to 30 years in prison. Appellant was 19 years old, had no prior arrests, and had never before been questioned by the police. In April 2016, police officers arrived at his mother's house after midnight without a warrant for the purpose of questioning him about the disappearance of his friend, Tristan Mina. They took him to the police station in an unmarked car. His mother followed in her own car and waited in the family area when they took him to an interrogation room. She told him that she would get him an attorney. Appellant waited in the interrogation room alone for several minutes before two detectives, Michael Lara and Rex Parsons, joined him there. Detective Lara read Appellant his Miranda rights. Appellant invoked his right to counsel, and the interview was terminated. The detectives told Appellant that he was under arrest for murder and locked him in a holding cell where he was handcuffed to a bench. Less than fifteen minutes later Appellant "flagged down" Lara and said he would give a statement. Appellant was returned to the interrogation room and was again read his Miranda rights. He said he understood the rights and wished to continue. He then gave an hour-long videotaped statement recounting the events of the night that Mina was killed. On appeal he challenged the suppression ruling, claiming that his confession was the product of an illegal arrest. The court of </w:t>
      </w:r>
      <w:r>
        <w:lastRenderedPageBreak/>
        <w:t>appeals held that the taint was sufficiently attenuated under Brown v. Illinois, 422 U.S. 590 (1975), and affirmed the trial court. The Texas Court of Criminal Appeals granted review of this matter to determine whether the court of appeals misapplied the four-factor test from Brown and whether the court of appeals' finding of probable cause was based on opinions rather than facts in conflict with Torres v. Texas, 182 S.W.3d 899 (Tex. Crim. App. 2005). The Court concluded the court of appeals misapplied the third and fourth Brown factors and erred in looking to Appellant's statement to establish probable cause for his arrest. Judgment was therefore reversed and the case remanded to the trial court for further proceedings.</w:t>
      </w:r>
    </w:p>
    <w:p w14:paraId="4F048530" w14:textId="01580C82" w:rsidR="003E5B14" w:rsidRDefault="003E5B14" w:rsidP="003E5B14">
      <w:hyperlink r:id="rId8" w:history="1">
        <w:r w:rsidRPr="003E5B14">
          <w:rPr>
            <w:rStyle w:val="Hyperlink"/>
          </w:rPr>
          <w:t>Click here to read or download the full decision.</w:t>
        </w:r>
      </w:hyperlink>
    </w:p>
    <w:p w14:paraId="72555756" w14:textId="77777777" w:rsidR="003E5B14" w:rsidRDefault="003E5B14" w:rsidP="00285B94"/>
    <w:p w14:paraId="19A666BB" w14:textId="46FA1B72" w:rsidR="00285B94" w:rsidRDefault="000E0E50" w:rsidP="00285B94">
      <w:r w:rsidRPr="000E0E50">
        <w:t>https://drive.google.com/file/d/1IM8u-Yk88tR8cHW8BwJcfKntJz2fcqU4/view?usp=sharing</w:t>
      </w:r>
    </w:p>
    <w:p w14:paraId="1A355C54" w14:textId="0C23B35F" w:rsidR="000E0E50" w:rsidRDefault="000E0E50" w:rsidP="00285B94"/>
    <w:p w14:paraId="50A50779" w14:textId="77777777" w:rsidR="000E0E50" w:rsidRDefault="000E0E50" w:rsidP="00285B94"/>
    <w:p w14:paraId="06E2EF26" w14:textId="16DB1229" w:rsidR="00285B94" w:rsidRPr="00285B94" w:rsidRDefault="00285B94" w:rsidP="00285B94">
      <w:pPr>
        <w:rPr>
          <w:b/>
          <w:bCs/>
        </w:rPr>
      </w:pPr>
      <w:r w:rsidRPr="00285B94">
        <w:rPr>
          <w:b/>
          <w:bCs/>
        </w:rPr>
        <w:t>Martin v. Texas   TXCCA   14APR2021</w:t>
      </w:r>
    </w:p>
    <w:p w14:paraId="3BAA4DA2" w14:textId="4F6CA24B" w:rsidR="003E5B14" w:rsidRDefault="003E5B14" w:rsidP="00285B94">
      <w:r w:rsidRPr="003E5B14">
        <w:t xml:space="preserve">Tags: </w:t>
      </w:r>
      <w:r>
        <w:t xml:space="preserve">Searches, </w:t>
      </w:r>
      <w:r w:rsidRPr="003E5B14">
        <w:t>Warrantless Home Entry</w:t>
      </w:r>
    </w:p>
    <w:p w14:paraId="3308749A" w14:textId="62ED10CC" w:rsidR="00285B94" w:rsidRDefault="00285B94" w:rsidP="00285B94">
      <w:r>
        <w:t xml:space="preserve">The issue this case presented for the Texas Court of Criminal Appeals centered on whether a police officer's entry into a residence was reasonable under the Fourth Amendment, when a firefighter, in the line of duty, asked law enforcement for a safety check after seeing drug paraphernalia, guns, and flammable liquids in the residence, and whether that officer’s discovery of drug paraphernalia in plain view provided probable cause for a search warrant? The short answer to this question under the specific facts of this case was yes: </w:t>
      </w:r>
      <w:proofErr w:type="gramStart"/>
      <w:r>
        <w:t>the</w:t>
      </w:r>
      <w:proofErr w:type="gramEnd"/>
      <w:r>
        <w:t xml:space="preserve"> Court therefore upheld the court of appeals’ judgment which affirmed the trial court’s denial of Appellant’s motion to suppress the drug evidence found pursuant to a search warrant.</w:t>
      </w:r>
    </w:p>
    <w:p w14:paraId="0B1D5FF8" w14:textId="6870FF66" w:rsidR="003E5B14" w:rsidRDefault="003E5B14" w:rsidP="003E5B14">
      <w:hyperlink r:id="rId9" w:history="1">
        <w:r w:rsidRPr="003E5B14">
          <w:rPr>
            <w:rStyle w:val="Hyperlink"/>
          </w:rPr>
          <w:t>Click here to read or download the full decision.</w:t>
        </w:r>
      </w:hyperlink>
    </w:p>
    <w:p w14:paraId="0788186A" w14:textId="77777777" w:rsidR="003E5B14" w:rsidRDefault="003E5B14" w:rsidP="00285B94"/>
    <w:p w14:paraId="126F8D6D" w14:textId="77777777" w:rsidR="000E0E50" w:rsidRDefault="000E0E50" w:rsidP="00285B94">
      <w:r w:rsidRPr="000E0E50">
        <w:t>https://drive.google.com/file/d/1Wppc5ALhA-NEBmlKcCM__ZX5dWPPcoCF/view?usp=sharing</w:t>
      </w:r>
    </w:p>
    <w:p w14:paraId="4E892314" w14:textId="77777777" w:rsidR="000E0E50" w:rsidRDefault="000E0E50" w:rsidP="00285B94"/>
    <w:p w14:paraId="20D0ED81" w14:textId="7E139678" w:rsidR="00541F3F" w:rsidRDefault="00541F3F" w:rsidP="00285B94"/>
    <w:p w14:paraId="70BE94A0" w14:textId="1DF6D187" w:rsidR="005C6F46" w:rsidRPr="00541F3F" w:rsidRDefault="005C6F46" w:rsidP="005C6F46">
      <w:pPr>
        <w:rPr>
          <w:b/>
          <w:bCs/>
        </w:rPr>
      </w:pPr>
      <w:r w:rsidRPr="00541F3F">
        <w:rPr>
          <w:b/>
          <w:bCs/>
        </w:rPr>
        <w:t>USE OF FORCE</w:t>
      </w:r>
    </w:p>
    <w:p w14:paraId="0F218086" w14:textId="433FD4C5" w:rsidR="005C6F46" w:rsidRPr="00E22C7C" w:rsidRDefault="005C6F46" w:rsidP="005C6F46">
      <w:pPr>
        <w:rPr>
          <w:b/>
          <w:bCs/>
        </w:rPr>
      </w:pPr>
      <w:r w:rsidRPr="00E22C7C">
        <w:rPr>
          <w:b/>
          <w:bCs/>
        </w:rPr>
        <w:t>Lopez v. Sheriff of Cook County   7thCIR   9APR2021</w:t>
      </w:r>
    </w:p>
    <w:p w14:paraId="47B51761" w14:textId="40F07804" w:rsidR="003E5B14" w:rsidRDefault="003E5B14" w:rsidP="005C6F46">
      <w:r w:rsidRPr="003E5B14">
        <w:t>Tags: Use of Force, Restraint, Failure to Train, Deliberate Indifference</w:t>
      </w:r>
    </w:p>
    <w:p w14:paraId="5CEA79CC" w14:textId="0295CBB9" w:rsidR="005C6F46" w:rsidRDefault="005C6F46" w:rsidP="005C6F46">
      <w:r>
        <w:t xml:space="preserve">At 3:55 a.m. people were loitering outside a lounge when Lopez sideswiped an SUV parked in front of the lounge. Bystanders swarmed Lopez’s car, punching him through an open window. A passenger exited Lopez’s car and fired a warning shot. Lopez exited the car, grabbed the gun, and walked toward the bystanders. Raines, a Cook County correctional officer, out celebrating, arrived at 3:56:11. Lopez </w:t>
      </w:r>
      <w:r>
        <w:lastRenderedPageBreak/>
        <w:t xml:space="preserve">walked back toward his car, stopping to fire two shots at an upward angle. Raines approached Lopez with his own gun drawn. Lopez reached to open his car door. Raines started shooting at 3:56:27. Lopez, injured, dropped his gun and staggered away. Raines continued to fire. Raines pursued Lopez, who was leaning against a wall. Lopez’s passenger, </w:t>
      </w:r>
      <w:proofErr w:type="spellStart"/>
      <w:r>
        <w:t>Orta</w:t>
      </w:r>
      <w:proofErr w:type="spellEnd"/>
      <w:r>
        <w:t xml:space="preserve">, picked up the dropped gun and fired at Raines at 3:56:32 a.m. For about three minutes, </w:t>
      </w:r>
      <w:proofErr w:type="spellStart"/>
      <w:r>
        <w:t>Orta</w:t>
      </w:r>
      <w:proofErr w:type="spellEnd"/>
      <w:r>
        <w:t xml:space="preserve"> and Raines engaged in a standoff. Raines simultaneously restrained Lopez, wounded but conscious, and used him as a human shield. At 4:00:10 a.m., </w:t>
      </w:r>
      <w:proofErr w:type="spellStart"/>
      <w:r>
        <w:t>Orta</w:t>
      </w:r>
      <w:proofErr w:type="spellEnd"/>
      <w:r>
        <w:t xml:space="preserve"> fled. Police and paramedics arrived. Lopez faced criminal charges. The Seventh Circuit affirmed summary judgment for the defendants in his 42 U.S.C. 1983 suit. Raines was entitled to qualified immunity because his use of deadly force did not violate clearly established law although the video footage of the events conveys the impression that Raines might have been able to avoid any use of lethal force.</w:t>
      </w:r>
    </w:p>
    <w:p w14:paraId="2F71197E" w14:textId="0F3B9DE7" w:rsidR="003E5B14" w:rsidRDefault="003E5B14" w:rsidP="005C6F46">
      <w:hyperlink r:id="rId10" w:history="1">
        <w:r w:rsidRPr="003E5B14">
          <w:rPr>
            <w:rStyle w:val="Hyperlink"/>
          </w:rPr>
          <w:t>Click here to read or download the full decision.</w:t>
        </w:r>
      </w:hyperlink>
    </w:p>
    <w:p w14:paraId="5A3135FD" w14:textId="00F76F2F" w:rsidR="005C6F46" w:rsidRDefault="005C6F46" w:rsidP="005C6F46">
      <w:r>
        <w:t xml:space="preserve">Tags: </w:t>
      </w:r>
      <w:r w:rsidR="00541F3F">
        <w:t>Use of Force, Deadly Force, Qualified Immunity</w:t>
      </w:r>
    </w:p>
    <w:p w14:paraId="49144F19" w14:textId="44391AD8" w:rsidR="00AB384D" w:rsidRDefault="000E0E50" w:rsidP="005C6F46">
      <w:r w:rsidRPr="000E0E50">
        <w:t>https://drive.google.com/file/d/1FZItOuKOT8XH5wyLkh8Q0OAVPf47no3k/view?usp=sharing</w:t>
      </w:r>
      <w:r>
        <w:t xml:space="preserve"> </w:t>
      </w:r>
    </w:p>
    <w:p w14:paraId="5DC7B219" w14:textId="77777777" w:rsidR="004F523D" w:rsidRDefault="004F523D" w:rsidP="005C6F46"/>
    <w:p w14:paraId="6D1AC9DA" w14:textId="77777777" w:rsidR="000E0E50" w:rsidRDefault="000E0E50" w:rsidP="005C6F46"/>
    <w:p w14:paraId="7C4EFF87" w14:textId="6586B3D8" w:rsidR="00AB384D" w:rsidRPr="00E22C7C" w:rsidRDefault="00AB384D" w:rsidP="00AB384D">
      <w:pPr>
        <w:rPr>
          <w:b/>
          <w:bCs/>
        </w:rPr>
      </w:pPr>
      <w:r w:rsidRPr="00E22C7C">
        <w:rPr>
          <w:b/>
          <w:bCs/>
        </w:rPr>
        <w:t>Hutcheson v. Dallas County   5thCIR   12APR2021</w:t>
      </w:r>
    </w:p>
    <w:p w14:paraId="5CB3DAF4" w14:textId="1815421B" w:rsidR="003E5B14" w:rsidRDefault="003E5B14" w:rsidP="00AB384D">
      <w:r w:rsidRPr="003E5B14">
        <w:t>Tags: Use of Force, Restraint, Failure to Train, Deliberate Indifference</w:t>
      </w:r>
    </w:p>
    <w:p w14:paraId="37994812" w14:textId="21308039" w:rsidR="00AB384D" w:rsidRDefault="00AB384D" w:rsidP="00AB384D">
      <w:r>
        <w:t>After Joseph Hutcheson died as a result of police officers restraining him at the Dallas County Jail, Hutcheson's wife and mother filed suit against the county and four individual officers, bringing an excessive force claim against the officers and failure-to-train and wrongful-death claims against the county. Hutcheson died from a combination of the narcotics in his system and the stress from his struggle with and restraint by the officers. The district court dismissed or granted summary judgment on all claims. The Fifth Circuit affirmed the district court's grant of summary judgment on the excessive force claim, concluding that plaintiffs failed to raise a dispute of material fact regarding whether the officers used unreasonable force to restrain a resisting suspect. The court also concluded that the district court did not abuse its discretion by denying the motion for limited discovery on the issue of qualified immunity. The court further concluded that the district court properly dismissed the failure-to-train claim where plaintiffs failed to allege that the county provided no training, so they cannot show that the county was deliberately indifferent. Finally, the court concluded that the district court did not abuse its discretion in denying leave to file a second amendment. Accordingly, the court affirmed the district court's judgment in its entirety.</w:t>
      </w:r>
    </w:p>
    <w:p w14:paraId="7C73FCA9" w14:textId="0CC5F40E" w:rsidR="003E5B14" w:rsidRDefault="003E5B14" w:rsidP="003E5B14">
      <w:hyperlink r:id="rId11" w:history="1">
        <w:r w:rsidRPr="003E5B14">
          <w:rPr>
            <w:rStyle w:val="Hyperlink"/>
          </w:rPr>
          <w:t>Click here to read or download the full decision.</w:t>
        </w:r>
      </w:hyperlink>
    </w:p>
    <w:p w14:paraId="30104D58" w14:textId="77777777" w:rsidR="003E5B14" w:rsidRDefault="003E5B14" w:rsidP="00AB384D"/>
    <w:p w14:paraId="27D5BE26" w14:textId="07A4CF3E" w:rsidR="000E0E50" w:rsidRDefault="000E0E50" w:rsidP="00AB384D">
      <w:r w:rsidRPr="000E0E50">
        <w:t>https://drive.google.com/file/d/12GI9dERu7CpymRytPXZiOlWsTINDXoik/view?usp=sharing</w:t>
      </w:r>
    </w:p>
    <w:sectPr w:rsidR="000E0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C53"/>
    <w:rsid w:val="000E0E50"/>
    <w:rsid w:val="00235CD1"/>
    <w:rsid w:val="00285B94"/>
    <w:rsid w:val="00392F01"/>
    <w:rsid w:val="003E1093"/>
    <w:rsid w:val="003E5B14"/>
    <w:rsid w:val="00413709"/>
    <w:rsid w:val="004F523D"/>
    <w:rsid w:val="00541F3F"/>
    <w:rsid w:val="005439D3"/>
    <w:rsid w:val="005C6F46"/>
    <w:rsid w:val="006D1225"/>
    <w:rsid w:val="007753F1"/>
    <w:rsid w:val="00942D21"/>
    <w:rsid w:val="00AB384D"/>
    <w:rsid w:val="00E22C7C"/>
    <w:rsid w:val="00EA5FC4"/>
    <w:rsid w:val="00EF0C53"/>
    <w:rsid w:val="00F07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1335"/>
  <w15:chartTrackingRefBased/>
  <w15:docId w15:val="{5FC9BB76-7E9D-4698-A943-CFFE085B9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B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5B14"/>
    <w:rPr>
      <w:color w:val="0563C1" w:themeColor="hyperlink"/>
      <w:u w:val="single"/>
    </w:rPr>
  </w:style>
  <w:style w:type="character" w:styleId="UnresolvedMention">
    <w:name w:val="Unresolved Mention"/>
    <w:basedOn w:val="DefaultParagraphFont"/>
    <w:uiPriority w:val="99"/>
    <w:semiHidden/>
    <w:unhideWhenUsed/>
    <w:rsid w:val="003E5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9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IM8u-Yk88tR8cHW8BwJcfKntJz2fcqU4/view?usp=sharin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rive.google.com/file/d/1OgihPBejzLTI-LTFBJJ-3NTC1SQa8vxi/view?usp=sharin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_Tvt0s1z-gVvmypIcZIXc8b_bLhjFzi2/view?usp=sharing" TargetMode="External"/><Relationship Id="rId11" Type="http://schemas.openxmlformats.org/officeDocument/2006/relationships/hyperlink" Target="https://drive.google.com/file/d/12GI9dERu7CpymRytPXZiOlWsTINDXoik/view?usp=sharing" TargetMode="External"/><Relationship Id="rId5" Type="http://schemas.openxmlformats.org/officeDocument/2006/relationships/hyperlink" Target="https://drive.google.com/file/d/1bcIS5ftQzgYxFmRCIR8qm7DR_vtwoXje/view?usp=sharing" TargetMode="External"/><Relationship Id="rId10" Type="http://schemas.openxmlformats.org/officeDocument/2006/relationships/hyperlink" Target="https://drive.google.com/file/d/1FZItOuKOT8XH5wyLkh8Q0OAVPf47no3k/view?usp=sharing" TargetMode="External"/><Relationship Id="rId4" Type="http://schemas.openxmlformats.org/officeDocument/2006/relationships/hyperlink" Target="https://drive.google.com/file/d/1uZq80AMbti9ipjUHfntJGVYqGlT1-XVQ/view?usp=sharing" TargetMode="External"/><Relationship Id="rId9" Type="http://schemas.openxmlformats.org/officeDocument/2006/relationships/hyperlink" Target="https://drive.google.com/file/d/1Wppc5ALhA-NEBmlKcCM__ZX5dWPPcoCF/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4364</TotalTime>
  <Pages>5</Pages>
  <Words>2291</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7</cp:revision>
  <dcterms:created xsi:type="dcterms:W3CDTF">2021-04-20T12:34:00Z</dcterms:created>
  <dcterms:modified xsi:type="dcterms:W3CDTF">2021-05-07T14:42:00Z</dcterms:modified>
</cp:coreProperties>
</file>