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9F846" w14:textId="0525E8BA" w:rsidR="00920EA9" w:rsidRDefault="00292A60">
      <w:r>
        <w:t>BF 20 – 21MAY2021</w:t>
      </w:r>
    </w:p>
    <w:p w14:paraId="1A5DEDA2" w14:textId="44E5BF60" w:rsidR="00292A60" w:rsidRDefault="00292A60" w:rsidP="00292A60">
      <w:pPr>
        <w:jc w:val="left"/>
      </w:pPr>
      <w:r>
        <w:t>SEARCH AND SEIZURE</w:t>
      </w:r>
    </w:p>
    <w:p w14:paraId="3CEB9C1E" w14:textId="35D1075C" w:rsidR="00292A60" w:rsidRDefault="00292A60" w:rsidP="00292A60">
      <w:pPr>
        <w:jc w:val="left"/>
      </w:pPr>
    </w:p>
    <w:p w14:paraId="365C1C6A" w14:textId="7D4BAA24" w:rsidR="00292A60" w:rsidRDefault="00292A60" w:rsidP="00292A60">
      <w:pPr>
        <w:jc w:val="left"/>
      </w:pPr>
      <w:r>
        <w:t>U</w:t>
      </w:r>
      <w:r>
        <w:t>nited States v. Thomas</w:t>
      </w:r>
      <w:r>
        <w:t xml:space="preserve">   5thCIR 2021   17MAY2021</w:t>
      </w:r>
    </w:p>
    <w:p w14:paraId="06BACD87" w14:textId="77777777" w:rsidR="00292A60" w:rsidRDefault="00292A60" w:rsidP="00292A60">
      <w:pPr>
        <w:jc w:val="left"/>
      </w:pPr>
    </w:p>
    <w:p w14:paraId="2F1433CF" w14:textId="6C5633BF" w:rsidR="00292A60" w:rsidRDefault="00292A60" w:rsidP="00292A60">
      <w:pPr>
        <w:jc w:val="left"/>
      </w:pPr>
      <w:r>
        <w:t>The Fifth Circuit affirmed defendant's conviction for being a felon in possession of a firearm and upheld the district court's denial of defendant's motion to suppress evidence of a firearm discovered during a stop and frisk. The court concluded that reasonable suspicion supported the stop and frisk where defendant was encountered in a high-crime area, and in light of defendant's connection to the stolen vehicle and his interaction with others in and around the vehicle. In this case, the officers were reasonable in suspecting that at least some of the people around and inside the vehicle had been involved in the aggravated robbery. Furthermore, the officers' need to proceed cautiously was obvious in light of them being outnumbered and unable to secure all six people because they had only four sets of handcuffs. The court also concluded that defendant's detention did not exceed the permissible scope of the investigatory stop where the officers' actions were reasonable under the circumstances and the stop was not converted into an arrest prior to defendant being frisked. Finally, the court concluded that the police department's local policy does not affect the constitutionality of the officers' conduct.</w:t>
      </w:r>
    </w:p>
    <w:p w14:paraId="60194048" w14:textId="43C40078" w:rsidR="00292A60" w:rsidRDefault="00292A60"/>
    <w:p w14:paraId="5152CE2A" w14:textId="70BC018A" w:rsidR="00292A60" w:rsidRDefault="00292A60" w:rsidP="00292A60">
      <w:pPr>
        <w:jc w:val="left"/>
      </w:pPr>
    </w:p>
    <w:p w14:paraId="21C0739B" w14:textId="6E2FAF9A" w:rsidR="00292A60" w:rsidRDefault="00292A60" w:rsidP="00292A60">
      <w:pPr>
        <w:jc w:val="left"/>
      </w:pPr>
      <w:r>
        <w:t>U</w:t>
      </w:r>
      <w:r>
        <w:t>nited States v. Shelton</w:t>
      </w:r>
      <w:r>
        <w:t xml:space="preserve">   6thCIR   14MAY2021</w:t>
      </w:r>
    </w:p>
    <w:p w14:paraId="6F1FB7B4" w14:textId="43A8E21F" w:rsidR="00292A60" w:rsidRDefault="00105AA4" w:rsidP="00292A60">
      <w:pPr>
        <w:jc w:val="left"/>
      </w:pPr>
      <w:r>
        <w:t>Tags: Government Action</w:t>
      </w:r>
    </w:p>
    <w:p w14:paraId="73A4B0F9" w14:textId="77777777" w:rsidR="00292A60" w:rsidRDefault="00292A60" w:rsidP="00292A60">
      <w:pPr>
        <w:jc w:val="left"/>
      </w:pPr>
    </w:p>
    <w:p w14:paraId="7793F4A1" w14:textId="1026302E" w:rsidR="00292A60" w:rsidRDefault="00292A60" w:rsidP="00292A60">
      <w:pPr>
        <w:jc w:val="left"/>
      </w:pPr>
      <w:r>
        <w:t>Elgin met Garbutt at an international convention. Garbutt, who holds dual citizenship, moved from Belize into Elgin’s Gary, Indiana home and worked on her successful campaign to become Trustee of Calumet Township. Elgin hired Garbutt to work at the Trustee’s Office as her “executive aide” at a salary of $60,000 per year. Garbutt’s unofficial duties included Elgin’s political campaign work. He understood that he should not perform political work at the Township Office but began to do so. Elgin also hired her friend Shelton, who also worked on Elgin’s campaign. Elgin and Garbutt had a falling out. Elgin demoted Garbutt, docked his salary barred him from attending meetings, and took away his government car. Garbutt eventually began a partnership with an FBI agent who directed him to conduct warrantless searches of his co‐workers’ offices. Elgin took a plea deal, Shelton was convicted of conspiracy to commit wire fraud and conspiracy to commit honest services wire fraud, after learning, mid‐trial, about the warrantless searches. The district court denied Shelton's post‐trial motion for relief. The Sixth Circuit reversed. The district court erred in finding that Shelton lacked any reasonable expectation of privacy in her office. Garbutt’s document collection, undertaken at the direction of the FBI, violated her Fourth Amendment rights. No warrant would have issued without the information gathered as a result of the unlawful searches; the evidence obtained from the search authorized by that warrant should have been suppressed.</w:t>
      </w:r>
    </w:p>
    <w:p w14:paraId="23429C9A" w14:textId="4D7E96B7" w:rsidR="00292A60" w:rsidRDefault="00292A60" w:rsidP="00292A60">
      <w:pPr>
        <w:jc w:val="left"/>
      </w:pPr>
    </w:p>
    <w:p w14:paraId="0C68C200" w14:textId="29E73379" w:rsidR="00292A60" w:rsidRDefault="00292A60" w:rsidP="00ED66A6">
      <w:pPr>
        <w:jc w:val="left"/>
      </w:pPr>
      <w:r>
        <w:br w:type="page"/>
      </w:r>
    </w:p>
    <w:p w14:paraId="25AE68A6" w14:textId="69B552D7" w:rsidR="00292A60" w:rsidRDefault="00292A60" w:rsidP="00292A60">
      <w:pPr>
        <w:jc w:val="left"/>
      </w:pPr>
      <w:r>
        <w:lastRenderedPageBreak/>
        <w:t>USE OF FORCE</w:t>
      </w:r>
    </w:p>
    <w:p w14:paraId="6C37E9E1" w14:textId="38144C88" w:rsidR="00292A60" w:rsidRDefault="00292A60" w:rsidP="00292A60">
      <w:pPr>
        <w:jc w:val="left"/>
      </w:pPr>
    </w:p>
    <w:p w14:paraId="7881D059" w14:textId="61A87689" w:rsidR="00292A60" w:rsidRDefault="00292A60" w:rsidP="00292A60">
      <w:pPr>
        <w:jc w:val="left"/>
      </w:pPr>
      <w:r>
        <w:t>T</w:t>
      </w:r>
      <w:r>
        <w:t>ucker v. City of Shreveport</w:t>
      </w:r>
      <w:r>
        <w:t xml:space="preserve">   5thCIR   18MAY2021</w:t>
      </w:r>
    </w:p>
    <w:p w14:paraId="2722D7DA" w14:textId="77777777" w:rsidR="00292A60" w:rsidRDefault="00292A60" w:rsidP="00292A60">
      <w:pPr>
        <w:jc w:val="left"/>
      </w:pPr>
    </w:p>
    <w:p w14:paraId="7DC8D78B" w14:textId="703766B2" w:rsidR="00292A60" w:rsidRDefault="00292A60" w:rsidP="00292A60">
      <w:pPr>
        <w:jc w:val="left"/>
      </w:pPr>
      <w:r>
        <w:t>Plaintiff filed a 42 U.S.C. 1983 action against police officers and the City of Shreveport, alleging that members of the police department used excessive force in effecting plaintiff's arrest. Specifically, plaintiff alleges that the police officers' conduct—forcing him to the ground and then beating him in order to place him in handcuffs—violated his rights protected by federal and state constitutional law, as well as Louisiana tort law. The district court granted summary judgment in favor of the officers in their official capacities on all claims and denied summary judgment as to all of plaintiff's claims against the City, as well as his section 1983 and Louisiana law claims against the officers in their individual capacities. The officers appealed. The Fifth Circuit reversed and remanded, concluding that the district court erred in concluding that factual issues preclude application of qualified immunity as to plaintiff's claims against the officers in their individual capacities. In this case, the facts and circumstances in their entirety created a scenario sufficiently "tense, uncertain, and rapidly evolving" to place the officers' takedown of plaintiff, even if mistaken, within the protected "hazy order between excessive and acceptable force," established by then-existing Fourth Amendment excessive force jurisprudence. Furthermore, the district court erred in not granting summary judgment in the officers' favor relative to the force used against plaintiff while he was on the ground.</w:t>
      </w:r>
    </w:p>
    <w:sectPr w:rsidR="00292A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A60"/>
    <w:rsid w:val="00105AA4"/>
    <w:rsid w:val="001E4B57"/>
    <w:rsid w:val="00292A60"/>
    <w:rsid w:val="006D1225"/>
    <w:rsid w:val="007753F1"/>
    <w:rsid w:val="009D3C03"/>
    <w:rsid w:val="00ED6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BF09A"/>
  <w15:chartTrackingRefBased/>
  <w15:docId w15:val="{0BD06283-98C4-43B5-B427-DC6F9374E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House</dc:creator>
  <cp:keywords/>
  <dc:description/>
  <cp:lastModifiedBy>Maine House</cp:lastModifiedBy>
  <cp:revision>1</cp:revision>
  <dcterms:created xsi:type="dcterms:W3CDTF">2021-05-19T13:44:00Z</dcterms:created>
  <dcterms:modified xsi:type="dcterms:W3CDTF">2021-05-19T14:46:00Z</dcterms:modified>
</cp:coreProperties>
</file>