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9F043" w14:textId="1037E160" w:rsidR="00920EA9" w:rsidRDefault="00E4763B">
      <w:r>
        <w:t xml:space="preserve"> BF 24SEP2021</w:t>
      </w:r>
    </w:p>
    <w:p w14:paraId="4ACDCC9B" w14:textId="542F4101" w:rsidR="00041A53" w:rsidRDefault="00041A53"/>
    <w:p w14:paraId="20378770" w14:textId="77777777" w:rsidR="00041A53" w:rsidRDefault="00041A53" w:rsidP="00041A53">
      <w:pPr>
        <w:jc w:val="left"/>
      </w:pPr>
      <w:r>
        <w:t>United States v. Traylor</w:t>
      </w:r>
    </w:p>
    <w:p w14:paraId="0D5390C2" w14:textId="77777777" w:rsidR="00041A53" w:rsidRDefault="00041A53" w:rsidP="00041A53">
      <w:pPr>
        <w:jc w:val="left"/>
      </w:pPr>
    </w:p>
    <w:p w14:paraId="59E51760" w14:textId="77777777" w:rsidR="00041A53" w:rsidRDefault="00041A53" w:rsidP="00041A53">
      <w:pPr>
        <w:jc w:val="left"/>
      </w:pPr>
      <w:r>
        <w:t>Court: US Court of Appeals for the Eighth Circuit</w:t>
      </w:r>
    </w:p>
    <w:p w14:paraId="44BEA0DB" w14:textId="77777777" w:rsidR="00041A53" w:rsidRDefault="00041A53" w:rsidP="00041A53">
      <w:pPr>
        <w:jc w:val="left"/>
      </w:pPr>
    </w:p>
    <w:p w14:paraId="602DC95F" w14:textId="77777777" w:rsidR="00041A53" w:rsidRDefault="00041A53" w:rsidP="00041A53">
      <w:pPr>
        <w:jc w:val="left"/>
      </w:pPr>
      <w:r>
        <w:t>Docket: 19-3555</w:t>
      </w:r>
    </w:p>
    <w:p w14:paraId="57933D38" w14:textId="77777777" w:rsidR="00041A53" w:rsidRDefault="00041A53" w:rsidP="00041A53">
      <w:pPr>
        <w:jc w:val="left"/>
      </w:pPr>
    </w:p>
    <w:p w14:paraId="46A062E9" w14:textId="77777777" w:rsidR="00041A53" w:rsidRDefault="00041A53" w:rsidP="00041A53">
      <w:pPr>
        <w:jc w:val="left"/>
      </w:pPr>
      <w:r>
        <w:t>Opinion Date: September 17, 2021</w:t>
      </w:r>
    </w:p>
    <w:p w14:paraId="11FF6F1F" w14:textId="77777777" w:rsidR="00041A53" w:rsidRDefault="00041A53" w:rsidP="00041A53">
      <w:pPr>
        <w:jc w:val="left"/>
      </w:pPr>
    </w:p>
    <w:p w14:paraId="0F56B003" w14:textId="77777777" w:rsidR="00041A53" w:rsidRDefault="00041A53" w:rsidP="00041A53">
      <w:pPr>
        <w:jc w:val="left"/>
      </w:pPr>
      <w:r>
        <w:t xml:space="preserve">Judge: Steven M. </w:t>
      </w:r>
      <w:proofErr w:type="spellStart"/>
      <w:r>
        <w:t>Colloton</w:t>
      </w:r>
      <w:proofErr w:type="spellEnd"/>
    </w:p>
    <w:p w14:paraId="0BAB1BF7" w14:textId="77777777" w:rsidR="00041A53" w:rsidRDefault="00041A53" w:rsidP="00041A53">
      <w:pPr>
        <w:jc w:val="left"/>
      </w:pPr>
    </w:p>
    <w:p w14:paraId="3E5C8109" w14:textId="77777777" w:rsidR="00041A53" w:rsidRDefault="00041A53" w:rsidP="00041A53">
      <w:pPr>
        <w:jc w:val="left"/>
      </w:pPr>
      <w:r>
        <w:t>Areas of Law: Criminal Law</w:t>
      </w:r>
    </w:p>
    <w:p w14:paraId="7DCF19D9" w14:textId="77777777" w:rsidR="00041A53" w:rsidRDefault="00041A53" w:rsidP="00041A53">
      <w:pPr>
        <w:jc w:val="left"/>
      </w:pPr>
    </w:p>
    <w:p w14:paraId="33DDB661" w14:textId="0CF2A4A6" w:rsidR="00041A53" w:rsidRDefault="00041A53" w:rsidP="00041A53">
      <w:pPr>
        <w:jc w:val="left"/>
      </w:pPr>
      <w:r>
        <w:t>After the Eighth Circuit ordered a limited remand for further consideration of defendant's motion to suppress evidence seized from his car, the district court entered an order denying the motion. Defendant's appeal has been resubmitted for decision, and the court now affirms the judgment. The court concluded that the district court was authorized to supplement its factual findings on remand, and there was no error in finding additional facts. The court also concluded that, under the totality of the circumstances, the district court did not err in concluding that there was reasonable suspicion of drug-related activity and the brief extension of the traffic stop to facilitate a dog sniff of the vehicle was reasonable under the Fourth Amendment.</w:t>
      </w:r>
    </w:p>
    <w:p w14:paraId="53A32681" w14:textId="35091787" w:rsidR="00041A53" w:rsidRDefault="00041A53" w:rsidP="00041A53">
      <w:pPr>
        <w:jc w:val="left"/>
      </w:pPr>
    </w:p>
    <w:p w14:paraId="38D868C4" w14:textId="6137EF0F" w:rsidR="00041A53" w:rsidRDefault="00041A53" w:rsidP="00041A53">
      <w:pPr>
        <w:jc w:val="left"/>
      </w:pPr>
    </w:p>
    <w:p w14:paraId="068BA5C1" w14:textId="77777777" w:rsidR="00041A53" w:rsidRDefault="00041A53" w:rsidP="00041A53">
      <w:pPr>
        <w:jc w:val="left"/>
      </w:pPr>
      <w:r>
        <w:t>United States v. Wilson</w:t>
      </w:r>
    </w:p>
    <w:p w14:paraId="3662A2A6" w14:textId="77777777" w:rsidR="00041A53" w:rsidRDefault="00041A53" w:rsidP="00041A53">
      <w:pPr>
        <w:jc w:val="left"/>
      </w:pPr>
    </w:p>
    <w:p w14:paraId="0106835D" w14:textId="77777777" w:rsidR="00041A53" w:rsidRDefault="00041A53" w:rsidP="00041A53">
      <w:pPr>
        <w:jc w:val="left"/>
      </w:pPr>
      <w:r>
        <w:t>Court: US Court of Appeals for the Ninth Circuit</w:t>
      </w:r>
    </w:p>
    <w:p w14:paraId="71EA3E14" w14:textId="77777777" w:rsidR="00041A53" w:rsidRDefault="00041A53" w:rsidP="00041A53">
      <w:pPr>
        <w:jc w:val="left"/>
      </w:pPr>
    </w:p>
    <w:p w14:paraId="425C876B" w14:textId="77777777" w:rsidR="00041A53" w:rsidRDefault="00041A53" w:rsidP="00041A53">
      <w:pPr>
        <w:jc w:val="left"/>
      </w:pPr>
      <w:r>
        <w:t>Docket: 18-50440</w:t>
      </w:r>
    </w:p>
    <w:p w14:paraId="72C3E684" w14:textId="77777777" w:rsidR="00041A53" w:rsidRDefault="00041A53" w:rsidP="00041A53">
      <w:pPr>
        <w:jc w:val="left"/>
      </w:pPr>
    </w:p>
    <w:p w14:paraId="606F3D34" w14:textId="77777777" w:rsidR="00041A53" w:rsidRDefault="00041A53" w:rsidP="00041A53">
      <w:pPr>
        <w:jc w:val="left"/>
      </w:pPr>
      <w:r>
        <w:t>Opinion Date: September 21, 2021</w:t>
      </w:r>
    </w:p>
    <w:p w14:paraId="268BD96C" w14:textId="77777777" w:rsidR="00041A53" w:rsidRDefault="00041A53" w:rsidP="00041A53">
      <w:pPr>
        <w:jc w:val="left"/>
      </w:pPr>
    </w:p>
    <w:p w14:paraId="5E20BC6E" w14:textId="77777777" w:rsidR="00041A53" w:rsidRDefault="00041A53" w:rsidP="00041A53">
      <w:pPr>
        <w:jc w:val="left"/>
      </w:pPr>
      <w:r>
        <w:t xml:space="preserve">Judge: Marsha Siegel </w:t>
      </w:r>
      <w:proofErr w:type="spellStart"/>
      <w:r>
        <w:t>Berzon</w:t>
      </w:r>
      <w:proofErr w:type="spellEnd"/>
    </w:p>
    <w:p w14:paraId="28E9AAA5" w14:textId="77777777" w:rsidR="00041A53" w:rsidRDefault="00041A53" w:rsidP="00041A53">
      <w:pPr>
        <w:jc w:val="left"/>
      </w:pPr>
    </w:p>
    <w:p w14:paraId="274437E3" w14:textId="77777777" w:rsidR="00041A53" w:rsidRDefault="00041A53" w:rsidP="00041A53">
      <w:pPr>
        <w:jc w:val="left"/>
      </w:pPr>
      <w:r>
        <w:t>Areas of Law: Civil Rights, Constitutional Law, Criminal Law</w:t>
      </w:r>
    </w:p>
    <w:p w14:paraId="7F20BEED" w14:textId="77777777" w:rsidR="00041A53" w:rsidRDefault="00041A53" w:rsidP="00041A53">
      <w:pPr>
        <w:jc w:val="left"/>
      </w:pPr>
    </w:p>
    <w:p w14:paraId="39DAF3B5" w14:textId="6D6E27C0" w:rsidR="00041A53" w:rsidRDefault="00041A53" w:rsidP="00041A53">
      <w:pPr>
        <w:jc w:val="left"/>
      </w:pPr>
      <w:r>
        <w:t xml:space="preserve">Google, as required by 18 U.S.C. 2258A(f), reported to the National Center for Missing and Exploited Children (NCMEC) that Wilson had uploaded images of apparent child pornography to his email account as attachments. No one at Google had opened or viewed Wilson’s attachments; its report was based on an automated assessment that the images Wilson uploaded were the same as images other Google employees had earlier viewed and classified as child pornography. Someone at NCMEC then, also without opening or viewing them, sent Wilson’s email attachments to the San Diego Internet Crimes Against Children Task Force, where an officer viewed the attachments without a warrant. The officer then applied for </w:t>
      </w:r>
      <w:r>
        <w:lastRenderedPageBreak/>
        <w:t>warrants to search Wilson’s email account and Wilson’s home, describing the attachments in detail in the application. The Ninth Circuit reversed the denial of Wilson’s motion to suppress. The government’s warrantless search of Wilson’s email attachments was not justified by the private search exception to the Fourth Amendment. The government search exceeded the scope of the antecedent private search because it allowed the government to learn new, critical information that it used first to obtain a warrant and then to prosecute Wilson; the government agent viewed email attachments even though no Google employee had done so. The government has not established that what a Google employee previously viewed were exact duplicates of Wilson’s images.</w:t>
      </w:r>
    </w:p>
    <w:p w14:paraId="35F7E27E" w14:textId="01B8CB6D" w:rsidR="00041A53" w:rsidRDefault="00041A53" w:rsidP="00041A53">
      <w:pPr>
        <w:jc w:val="left"/>
      </w:pPr>
    </w:p>
    <w:p w14:paraId="2960CB4C" w14:textId="0163ED05" w:rsidR="00041A53" w:rsidRDefault="00041A53" w:rsidP="00041A53">
      <w:pPr>
        <w:jc w:val="left"/>
      </w:pPr>
    </w:p>
    <w:p w14:paraId="5EE68437" w14:textId="77777777" w:rsidR="00041A53" w:rsidRDefault="00041A53" w:rsidP="00041A53">
      <w:pPr>
        <w:jc w:val="left"/>
      </w:pPr>
      <w:r>
        <w:t>Tidwell v. Georgia</w:t>
      </w:r>
    </w:p>
    <w:p w14:paraId="4C6B0C58" w14:textId="77777777" w:rsidR="00041A53" w:rsidRDefault="00041A53" w:rsidP="00041A53">
      <w:pPr>
        <w:jc w:val="left"/>
      </w:pPr>
    </w:p>
    <w:p w14:paraId="41C5680E" w14:textId="77777777" w:rsidR="00041A53" w:rsidRDefault="00041A53" w:rsidP="00041A53">
      <w:pPr>
        <w:jc w:val="left"/>
      </w:pPr>
      <w:r>
        <w:t>Court: Supreme Court of Georgia</w:t>
      </w:r>
    </w:p>
    <w:p w14:paraId="4D35C3FE" w14:textId="77777777" w:rsidR="00041A53" w:rsidRDefault="00041A53" w:rsidP="00041A53">
      <w:pPr>
        <w:jc w:val="left"/>
      </w:pPr>
    </w:p>
    <w:p w14:paraId="22ACB820" w14:textId="77777777" w:rsidR="00041A53" w:rsidRDefault="00041A53" w:rsidP="00041A53">
      <w:pPr>
        <w:jc w:val="left"/>
      </w:pPr>
      <w:r>
        <w:t>Docket: S21A0739</w:t>
      </w:r>
    </w:p>
    <w:p w14:paraId="572056BA" w14:textId="77777777" w:rsidR="00041A53" w:rsidRDefault="00041A53" w:rsidP="00041A53">
      <w:pPr>
        <w:jc w:val="left"/>
      </w:pPr>
    </w:p>
    <w:p w14:paraId="0EABF2C4" w14:textId="77777777" w:rsidR="00041A53" w:rsidRDefault="00041A53" w:rsidP="00041A53">
      <w:pPr>
        <w:jc w:val="left"/>
      </w:pPr>
      <w:r>
        <w:t>Opinion Date: September 21, 2021</w:t>
      </w:r>
    </w:p>
    <w:p w14:paraId="758D10D5" w14:textId="77777777" w:rsidR="00041A53" w:rsidRDefault="00041A53" w:rsidP="00041A53">
      <w:pPr>
        <w:jc w:val="left"/>
      </w:pPr>
    </w:p>
    <w:p w14:paraId="3FCBAE18" w14:textId="77777777" w:rsidR="00041A53" w:rsidRDefault="00041A53" w:rsidP="00041A53">
      <w:pPr>
        <w:jc w:val="left"/>
      </w:pPr>
      <w:r>
        <w:t>Judge: Colvin</w:t>
      </w:r>
    </w:p>
    <w:p w14:paraId="03E2AC29" w14:textId="77777777" w:rsidR="00041A53" w:rsidRDefault="00041A53" w:rsidP="00041A53">
      <w:pPr>
        <w:jc w:val="left"/>
      </w:pPr>
    </w:p>
    <w:p w14:paraId="29F3416A" w14:textId="77777777" w:rsidR="00041A53" w:rsidRDefault="00041A53" w:rsidP="00041A53">
      <w:pPr>
        <w:jc w:val="left"/>
      </w:pPr>
      <w:r>
        <w:t>Areas of Law: Constitutional Law, Criminal Law</w:t>
      </w:r>
    </w:p>
    <w:p w14:paraId="742152E6" w14:textId="77777777" w:rsidR="00041A53" w:rsidRDefault="00041A53" w:rsidP="00041A53">
      <w:pPr>
        <w:jc w:val="left"/>
      </w:pPr>
    </w:p>
    <w:p w14:paraId="71888B17" w14:textId="7DB9D627" w:rsidR="00041A53" w:rsidRDefault="00041A53" w:rsidP="00041A53">
      <w:pPr>
        <w:jc w:val="left"/>
      </w:pPr>
      <w:r>
        <w:t xml:space="preserve">Tonya Tidwell was convicted by jury of malice murder and aggravated battery in connection with the death of David </w:t>
      </w:r>
      <w:proofErr w:type="spellStart"/>
      <w:r>
        <w:t>Guice</w:t>
      </w:r>
      <w:proofErr w:type="spellEnd"/>
      <w:r>
        <w:t>. On appeal, Tidwell claimed the trial court erred by failing to charge the jury on mutual combat and by failing to suppress evidence obtained during the post-incident search of the crime scene. Finding no reversible error, the Georgia Supreme Court affirmed Tidwell's conviction.</w:t>
      </w:r>
    </w:p>
    <w:p w14:paraId="5D5990E6" w14:textId="5018B5C6" w:rsidR="00041A53" w:rsidRDefault="00041A53" w:rsidP="00041A53">
      <w:pPr>
        <w:jc w:val="left"/>
      </w:pPr>
    </w:p>
    <w:p w14:paraId="5F024E2F" w14:textId="767E586F" w:rsidR="00041A53" w:rsidRDefault="00041A53" w:rsidP="00041A53">
      <w:pPr>
        <w:jc w:val="left"/>
      </w:pPr>
    </w:p>
    <w:p w14:paraId="6406CC59" w14:textId="77777777" w:rsidR="00041A53" w:rsidRDefault="00041A53" w:rsidP="00041A53">
      <w:pPr>
        <w:jc w:val="left"/>
      </w:pPr>
      <w:r>
        <w:t>Idaho v. Warren</w:t>
      </w:r>
    </w:p>
    <w:p w14:paraId="73DA4B58" w14:textId="77777777" w:rsidR="00041A53" w:rsidRDefault="00041A53" w:rsidP="00041A53">
      <w:pPr>
        <w:jc w:val="left"/>
      </w:pPr>
    </w:p>
    <w:p w14:paraId="18896715" w14:textId="77777777" w:rsidR="00041A53" w:rsidRDefault="00041A53" w:rsidP="00041A53">
      <w:pPr>
        <w:jc w:val="left"/>
      </w:pPr>
      <w:r>
        <w:t>Court: Idaho Supreme Court - Criminal</w:t>
      </w:r>
    </w:p>
    <w:p w14:paraId="6A444AB2" w14:textId="77777777" w:rsidR="00041A53" w:rsidRDefault="00041A53" w:rsidP="00041A53">
      <w:pPr>
        <w:jc w:val="left"/>
      </w:pPr>
    </w:p>
    <w:p w14:paraId="58F28619" w14:textId="77777777" w:rsidR="00041A53" w:rsidRDefault="00041A53" w:rsidP="00041A53">
      <w:pPr>
        <w:jc w:val="left"/>
      </w:pPr>
      <w:r>
        <w:t>Docket: 48008</w:t>
      </w:r>
    </w:p>
    <w:p w14:paraId="6B0F5B73" w14:textId="77777777" w:rsidR="00041A53" w:rsidRDefault="00041A53" w:rsidP="00041A53">
      <w:pPr>
        <w:jc w:val="left"/>
      </w:pPr>
    </w:p>
    <w:p w14:paraId="473439F9" w14:textId="77777777" w:rsidR="00041A53" w:rsidRDefault="00041A53" w:rsidP="00041A53">
      <w:pPr>
        <w:jc w:val="left"/>
      </w:pPr>
      <w:r>
        <w:t>Opinion Date: September 23, 2021</w:t>
      </w:r>
    </w:p>
    <w:p w14:paraId="39A0CE37" w14:textId="77777777" w:rsidR="00041A53" w:rsidRDefault="00041A53" w:rsidP="00041A53">
      <w:pPr>
        <w:jc w:val="left"/>
      </w:pPr>
    </w:p>
    <w:p w14:paraId="6913D5C4" w14:textId="77777777" w:rsidR="00041A53" w:rsidRDefault="00041A53" w:rsidP="00041A53">
      <w:pPr>
        <w:jc w:val="left"/>
      </w:pPr>
      <w:r>
        <w:t>Judge: Moeller</w:t>
      </w:r>
    </w:p>
    <w:p w14:paraId="38FCAC7A" w14:textId="77777777" w:rsidR="00041A53" w:rsidRDefault="00041A53" w:rsidP="00041A53">
      <w:pPr>
        <w:jc w:val="left"/>
      </w:pPr>
    </w:p>
    <w:p w14:paraId="507189DA" w14:textId="77777777" w:rsidR="00041A53" w:rsidRDefault="00041A53" w:rsidP="00041A53">
      <w:pPr>
        <w:jc w:val="left"/>
      </w:pPr>
      <w:r>
        <w:t>Areas of Law: Constitutional Law, Criminal Law</w:t>
      </w:r>
    </w:p>
    <w:p w14:paraId="2EC25F9D" w14:textId="77777777" w:rsidR="00041A53" w:rsidRDefault="00041A53" w:rsidP="00041A53">
      <w:pPr>
        <w:jc w:val="left"/>
      </w:pPr>
    </w:p>
    <w:p w14:paraId="681381B9" w14:textId="75F77373" w:rsidR="00041A53" w:rsidRDefault="00041A53" w:rsidP="00041A53">
      <w:pPr>
        <w:jc w:val="left"/>
      </w:pPr>
      <w:r>
        <w:t xml:space="preserve">The State appealed a district court’s order granting Jennifer Warren’s (“Jennifer”) motion to suppress evidence. Boise Police Department Officer Matthew Lane stopped a GMC Yukon for a </w:t>
      </w:r>
      <w:r>
        <w:lastRenderedPageBreak/>
        <w:t>canceled and expired registration. The vehicle was driven by Steven Warren (“Steven”), and Jennifer was in the passenger seat. Steven told officers that Jennifer was his wife. Lane ran the identification information supplied by both parties, and the data system alerted there was a civil protection order and a criminal no-contact order in place preventing Steven from having contact with Jennifer. At this point, the officer abandoned the original purpose of the traffic stop in order to investigate whether Steven was in violation of either order by being with Jennifer in the car. To separate Jennifer from Steven, a second officer, Andrew Morlock, asked Jennifer to step out of the vehicle. Morlock asked Jennifer about some bulges in her pockets, and she pulled out a lighter, some money, and two syringes wrapped in tissue. Lane ran his drug-detection dog around the vehicle, and the dog alerted. A search of the car turned up a suspected marijuana joint and a tin holding small containers of a waxy substance, one of which later tested presumptively positive for marijuana. Jennifer’s purse was also in the vehicle and contained pills later identified as hydrocodone. During the car search, dispatch confirmed that the criminal no-contact order against Steven was active. Steven was taken into custody; Jennifer was arrested for possession of drug paraphernalia, and a subsequent search of her person revealed another syringe and a baggie of methamphetamine hidden in her bra. The State charged Jennifer with possession of methamphetamine, possession of hydrocodone, possession of marijuana, and possession of drug paraphernalia, as well as a persistent violator enhancement. The district court concluded the officers had no lawful basis to continue detaining Jennifer, a passenger in a vehicle, after officers abandoned the original purpose of the traffic stop in order to investigate whether the driver was in violation of a criminal no contact order barring him from being with Jennifer. On appeal, the State argued that reasonable suspicion a driver is engaged in criminal conduct not only allows officers to extend a traffic stop and detain the driver, but it also includes the continued lawful detention of all passengers. To this, the Idaho Supreme Court concurred and reversed the district court's suppression order.</w:t>
      </w:r>
    </w:p>
    <w:p w14:paraId="3114F040" w14:textId="0B518944" w:rsidR="00041A53" w:rsidRDefault="00041A53" w:rsidP="00041A53">
      <w:pPr>
        <w:jc w:val="left"/>
      </w:pPr>
    </w:p>
    <w:p w14:paraId="520BAA27" w14:textId="248B79B4" w:rsidR="00041A53" w:rsidRDefault="00041A53" w:rsidP="00041A53">
      <w:pPr>
        <w:jc w:val="left"/>
      </w:pPr>
    </w:p>
    <w:p w14:paraId="70DCB065" w14:textId="77777777" w:rsidR="00DD7CA1" w:rsidRDefault="00DD7CA1" w:rsidP="00DD7CA1">
      <w:pPr>
        <w:jc w:val="left"/>
      </w:pPr>
      <w:r>
        <w:t>State v. Short</w:t>
      </w:r>
    </w:p>
    <w:p w14:paraId="5D681870" w14:textId="77777777" w:rsidR="00DD7CA1" w:rsidRDefault="00DD7CA1" w:rsidP="00DD7CA1">
      <w:pPr>
        <w:jc w:val="left"/>
      </w:pPr>
    </w:p>
    <w:p w14:paraId="7D7E635D" w14:textId="77777777" w:rsidR="00DD7CA1" w:rsidRDefault="00DD7CA1" w:rsidP="00DD7CA1">
      <w:pPr>
        <w:jc w:val="left"/>
      </w:pPr>
      <w:r>
        <w:t>Court: Nebraska Supreme Court</w:t>
      </w:r>
    </w:p>
    <w:p w14:paraId="74B6EF74" w14:textId="77777777" w:rsidR="00DD7CA1" w:rsidRDefault="00DD7CA1" w:rsidP="00DD7CA1">
      <w:pPr>
        <w:jc w:val="left"/>
      </w:pPr>
    </w:p>
    <w:p w14:paraId="290D1AF8" w14:textId="77777777" w:rsidR="00DD7CA1" w:rsidRDefault="00DD7CA1" w:rsidP="00DD7CA1">
      <w:pPr>
        <w:jc w:val="left"/>
      </w:pPr>
      <w:r>
        <w:t>Citation: 310 Neb. 81</w:t>
      </w:r>
    </w:p>
    <w:p w14:paraId="76D0703C" w14:textId="77777777" w:rsidR="00DD7CA1" w:rsidRDefault="00DD7CA1" w:rsidP="00DD7CA1">
      <w:pPr>
        <w:jc w:val="left"/>
      </w:pPr>
    </w:p>
    <w:p w14:paraId="356EAD53" w14:textId="77777777" w:rsidR="00DD7CA1" w:rsidRDefault="00DD7CA1" w:rsidP="00DD7CA1">
      <w:pPr>
        <w:jc w:val="left"/>
      </w:pPr>
      <w:r>
        <w:t>Opinion Date: September 17, 2021</w:t>
      </w:r>
    </w:p>
    <w:p w14:paraId="71FC28FC" w14:textId="77777777" w:rsidR="00DD7CA1" w:rsidRDefault="00DD7CA1" w:rsidP="00DD7CA1">
      <w:pPr>
        <w:jc w:val="left"/>
      </w:pPr>
    </w:p>
    <w:p w14:paraId="71BD3199" w14:textId="77777777" w:rsidR="00DD7CA1" w:rsidRDefault="00DD7CA1" w:rsidP="00DD7CA1">
      <w:pPr>
        <w:jc w:val="left"/>
      </w:pPr>
      <w:r>
        <w:t>Judge: Freudenberg</w:t>
      </w:r>
    </w:p>
    <w:p w14:paraId="0224A3B6" w14:textId="77777777" w:rsidR="00DD7CA1" w:rsidRDefault="00DD7CA1" w:rsidP="00DD7CA1">
      <w:pPr>
        <w:jc w:val="left"/>
      </w:pPr>
    </w:p>
    <w:p w14:paraId="52A92A99" w14:textId="77777777" w:rsidR="00DD7CA1" w:rsidRDefault="00DD7CA1" w:rsidP="00DD7CA1">
      <w:pPr>
        <w:jc w:val="left"/>
      </w:pPr>
      <w:r>
        <w:t>Areas of Law: Civil Rights, Constitutional Law, Criminal Law</w:t>
      </w:r>
    </w:p>
    <w:p w14:paraId="3ED4133D" w14:textId="77777777" w:rsidR="00DD7CA1" w:rsidRDefault="00DD7CA1" w:rsidP="00DD7CA1">
      <w:pPr>
        <w:jc w:val="left"/>
      </w:pPr>
    </w:p>
    <w:p w14:paraId="15C8B893" w14:textId="598F242C" w:rsidR="00041A53" w:rsidRDefault="00DD7CA1" w:rsidP="00DD7CA1">
      <w:pPr>
        <w:jc w:val="left"/>
      </w:pPr>
      <w:r>
        <w:t xml:space="preserve">The Supreme Court affirmed the judgment of the district court denying Defendant's motion to dismiss with prejudice or for absolute discharge based on late disclosures of discovery information resulting in delays Defendant argued implicated his speedy trial rights and denying Defendant's motion to suppress, holding that there was no error. On appeal, Defendant argued that the district court erred when it denied his motion to suppress the fruits of the search of his </w:t>
      </w:r>
      <w:r>
        <w:lastRenderedPageBreak/>
        <w:t>residence, two cell phones taken from his person incident to his unlawful arrest, information obtained from a search of the contents of his two cell phones, cell records and cell site location information from the cell phone service providers. Defendant also challenged the denial of his motion to dismiss and motion for complete discharge. The Supreme Court affirmed, holding that there was no merit to Defendant's assignments of error.</w:t>
      </w:r>
    </w:p>
    <w:p w14:paraId="636B9D80" w14:textId="32861875" w:rsidR="008C1132" w:rsidRDefault="008C1132" w:rsidP="00DD7CA1">
      <w:pPr>
        <w:jc w:val="left"/>
      </w:pPr>
    </w:p>
    <w:p w14:paraId="5D651BFD" w14:textId="0AEFB0CD" w:rsidR="008C1132" w:rsidRDefault="008C1132" w:rsidP="00DD7CA1">
      <w:pPr>
        <w:jc w:val="left"/>
      </w:pPr>
    </w:p>
    <w:p w14:paraId="30FB3746" w14:textId="77777777" w:rsidR="008C1132" w:rsidRDefault="008C1132" w:rsidP="008C1132">
      <w:pPr>
        <w:jc w:val="left"/>
      </w:pPr>
      <w:proofErr w:type="spellStart"/>
      <w:r>
        <w:t>Kokesh</w:t>
      </w:r>
      <w:proofErr w:type="spellEnd"/>
      <w:r>
        <w:t xml:space="preserve"> v. </w:t>
      </w:r>
      <w:proofErr w:type="spellStart"/>
      <w:r>
        <w:t>Curlee</w:t>
      </w:r>
      <w:proofErr w:type="spellEnd"/>
    </w:p>
    <w:p w14:paraId="308435A6" w14:textId="77777777" w:rsidR="008C1132" w:rsidRDefault="008C1132" w:rsidP="008C1132">
      <w:pPr>
        <w:jc w:val="left"/>
      </w:pPr>
    </w:p>
    <w:p w14:paraId="5B0AE424" w14:textId="77777777" w:rsidR="008C1132" w:rsidRDefault="008C1132" w:rsidP="008C1132">
      <w:pPr>
        <w:jc w:val="left"/>
      </w:pPr>
      <w:r>
        <w:t>Court: US Court of Appeals for the Fifth Circuit</w:t>
      </w:r>
    </w:p>
    <w:p w14:paraId="4BDF13D1" w14:textId="77777777" w:rsidR="008C1132" w:rsidRDefault="008C1132" w:rsidP="008C1132">
      <w:pPr>
        <w:jc w:val="left"/>
      </w:pPr>
    </w:p>
    <w:p w14:paraId="4808117E" w14:textId="77777777" w:rsidR="008C1132" w:rsidRDefault="008C1132" w:rsidP="008C1132">
      <w:pPr>
        <w:jc w:val="left"/>
      </w:pPr>
      <w:r>
        <w:t>Docket: 20-30356</w:t>
      </w:r>
    </w:p>
    <w:p w14:paraId="7893DD12" w14:textId="77777777" w:rsidR="008C1132" w:rsidRDefault="008C1132" w:rsidP="008C1132">
      <w:pPr>
        <w:jc w:val="left"/>
      </w:pPr>
    </w:p>
    <w:p w14:paraId="5B94F49F" w14:textId="77777777" w:rsidR="008C1132" w:rsidRDefault="008C1132" w:rsidP="008C1132">
      <w:pPr>
        <w:jc w:val="left"/>
      </w:pPr>
      <w:r>
        <w:t>Opinion Date: September 21, 2021</w:t>
      </w:r>
    </w:p>
    <w:p w14:paraId="7C7965FA" w14:textId="77777777" w:rsidR="008C1132" w:rsidRDefault="008C1132" w:rsidP="008C1132">
      <w:pPr>
        <w:jc w:val="left"/>
      </w:pPr>
    </w:p>
    <w:p w14:paraId="584A2F70" w14:textId="77777777" w:rsidR="008C1132" w:rsidRDefault="008C1132" w:rsidP="008C1132">
      <w:pPr>
        <w:jc w:val="left"/>
      </w:pPr>
      <w:r>
        <w:t>Judge: Engelhardt</w:t>
      </w:r>
    </w:p>
    <w:p w14:paraId="310AD333" w14:textId="77777777" w:rsidR="008C1132" w:rsidRDefault="008C1132" w:rsidP="008C1132">
      <w:pPr>
        <w:jc w:val="left"/>
      </w:pPr>
    </w:p>
    <w:p w14:paraId="07551A81" w14:textId="77777777" w:rsidR="008C1132" w:rsidRDefault="008C1132" w:rsidP="008C1132">
      <w:pPr>
        <w:jc w:val="left"/>
      </w:pPr>
      <w:r>
        <w:t>Areas of Law: Civil Rights, Constitutional Law</w:t>
      </w:r>
    </w:p>
    <w:p w14:paraId="66E68B92" w14:textId="77777777" w:rsidR="008C1132" w:rsidRDefault="008C1132" w:rsidP="008C1132">
      <w:pPr>
        <w:jc w:val="left"/>
      </w:pPr>
    </w:p>
    <w:p w14:paraId="285E4D90" w14:textId="5648F909" w:rsidR="008C1132" w:rsidRDefault="008C1132" w:rsidP="008C1132">
      <w:pPr>
        <w:jc w:val="left"/>
      </w:pPr>
      <w:r>
        <w:t xml:space="preserve">Louisiana Trooper </w:t>
      </w:r>
      <w:proofErr w:type="spellStart"/>
      <w:r>
        <w:t>Curlee</w:t>
      </w:r>
      <w:proofErr w:type="spellEnd"/>
      <w:r>
        <w:t xml:space="preserve"> observed a handicap-plated truck after nightfall stopped on the road's shoulder, high atop the Pontchartrain Expressway. </w:t>
      </w:r>
      <w:proofErr w:type="spellStart"/>
      <w:r>
        <w:t>Curlee</w:t>
      </w:r>
      <w:proofErr w:type="spellEnd"/>
      <w:r>
        <w:t xml:space="preserve"> stopped to investigate, saw men spray painting the overpass wall, and based upon their odd statements, sought their identification. Evans, the driver, and </w:t>
      </w:r>
      <w:proofErr w:type="spellStart"/>
      <w:r>
        <w:t>Gizzarelli</w:t>
      </w:r>
      <w:proofErr w:type="spellEnd"/>
      <w:r>
        <w:t xml:space="preserve"> complied. </w:t>
      </w:r>
      <w:proofErr w:type="spellStart"/>
      <w:r>
        <w:t>Kokesh</w:t>
      </w:r>
      <w:proofErr w:type="spellEnd"/>
      <w:r>
        <w:t xml:space="preserve"> refused to comply and videotaped the encounter. </w:t>
      </w:r>
      <w:proofErr w:type="spellStart"/>
      <w:r>
        <w:t>Curlee</w:t>
      </w:r>
      <w:proofErr w:type="spellEnd"/>
      <w:r>
        <w:t xml:space="preserve"> arrested </w:t>
      </w:r>
      <w:proofErr w:type="spellStart"/>
      <w:r>
        <w:t>Kokesh</w:t>
      </w:r>
      <w:proofErr w:type="spellEnd"/>
      <w:r>
        <w:t xml:space="preserve"> because of his failure to provide identification, determined that the two other men were acting on </w:t>
      </w:r>
      <w:proofErr w:type="spellStart"/>
      <w:r>
        <w:t>Kokesh’s</w:t>
      </w:r>
      <w:proofErr w:type="spellEnd"/>
      <w:r>
        <w:t xml:space="preserve"> instructions, decided </w:t>
      </w:r>
      <w:proofErr w:type="spellStart"/>
      <w:r>
        <w:t>Gizzarelli</w:t>
      </w:r>
      <w:proofErr w:type="spellEnd"/>
      <w:r>
        <w:t xml:space="preserve"> should be released, photographed the overpass, and wrote Evans a ticket for illegally stopping on the interstate shoulder. </w:t>
      </w:r>
      <w:proofErr w:type="spellStart"/>
      <w:r>
        <w:t>Kokesh</w:t>
      </w:r>
      <w:proofErr w:type="spellEnd"/>
      <w:r>
        <w:t xml:space="preserve"> subsequently sued. The district court dismissed all claims for injunctive and declaratory relief, all official-capacity claims, and all state law claims, leaving only 42 U.S.C. 1983 claims against </w:t>
      </w:r>
      <w:proofErr w:type="spellStart"/>
      <w:r>
        <w:t>Curlee</w:t>
      </w:r>
      <w:proofErr w:type="spellEnd"/>
      <w:r>
        <w:t xml:space="preserve"> in his individual capacity for unreasonable seizure and excessive force and First Amendment retaliation. The district court granted </w:t>
      </w:r>
      <w:proofErr w:type="spellStart"/>
      <w:r>
        <w:t>Curlee</w:t>
      </w:r>
      <w:proofErr w:type="spellEnd"/>
      <w:r>
        <w:t xml:space="preserve"> qualified immunity as to the excessive force claim but denied it as to the unreasonable seizure claim and the First Amendment claim. The Fifth Circuit reversed, in favor of </w:t>
      </w:r>
      <w:proofErr w:type="spellStart"/>
      <w:r>
        <w:t>Curlee</w:t>
      </w:r>
      <w:proofErr w:type="spellEnd"/>
      <w:r>
        <w:t xml:space="preserve">, describing the incident as “a regular investigation of an extraordinary and hazardous situation created voluntarily by the plaintiff.” </w:t>
      </w:r>
      <w:proofErr w:type="spellStart"/>
      <w:r>
        <w:t>Curlee’s</w:t>
      </w:r>
      <w:proofErr w:type="spellEnd"/>
      <w:r>
        <w:t xml:space="preserve"> conduct was in accord with reasonable expectations. “The Fourth Amendment and 42 U.S.C. 1983 should not be employed as a daily quiz tendered by videotaping hopefuls seeking to metamorphosize law enforcement officers from investigators and protectors, into mere spectators, and then further converting them into federal defendants.”</w:t>
      </w:r>
    </w:p>
    <w:p w14:paraId="4886A5EF" w14:textId="7098AF97" w:rsidR="008C1132" w:rsidRDefault="008C1132" w:rsidP="008C1132">
      <w:pPr>
        <w:jc w:val="left"/>
      </w:pPr>
    </w:p>
    <w:p w14:paraId="2C953808" w14:textId="73934E44" w:rsidR="008C1132" w:rsidRDefault="008C1132" w:rsidP="008C1132">
      <w:pPr>
        <w:jc w:val="left"/>
      </w:pPr>
    </w:p>
    <w:p w14:paraId="752E6BDA" w14:textId="77777777" w:rsidR="008C1132" w:rsidRDefault="008C1132" w:rsidP="008C1132">
      <w:pPr>
        <w:jc w:val="left"/>
      </w:pPr>
    </w:p>
    <w:sectPr w:rsidR="008C1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3B"/>
    <w:rsid w:val="00041A53"/>
    <w:rsid w:val="001E4B57"/>
    <w:rsid w:val="005D10AF"/>
    <w:rsid w:val="006D1225"/>
    <w:rsid w:val="007753F1"/>
    <w:rsid w:val="008C1132"/>
    <w:rsid w:val="00DD7CA1"/>
    <w:rsid w:val="00E47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6D57"/>
  <w15:chartTrackingRefBased/>
  <w15:docId w15:val="{EBD74D86-531E-41BC-943C-061895574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3</cp:revision>
  <dcterms:created xsi:type="dcterms:W3CDTF">2021-12-12T15:45:00Z</dcterms:created>
  <dcterms:modified xsi:type="dcterms:W3CDTF">2021-12-12T15:54:00Z</dcterms:modified>
</cp:coreProperties>
</file>