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B17E23" w14:textId="73788CBD" w:rsidR="00920EA9" w:rsidRDefault="00CC0CDB">
      <w:r>
        <w:t>5 FEB 2021 Blue Flash</w:t>
      </w:r>
    </w:p>
    <w:p w14:paraId="12B946CB" w14:textId="0E2B7CEB" w:rsidR="00CC0CDB" w:rsidRDefault="00CC0CDB" w:rsidP="00CC0CDB">
      <w:r>
        <w:t>J</w:t>
      </w:r>
      <w:r>
        <w:t>ordan v. Howard</w:t>
      </w:r>
      <w:r>
        <w:t xml:space="preserve">   6thCIR   3FEB21</w:t>
      </w:r>
    </w:p>
    <w:p w14:paraId="72BC1CF4" w14:textId="35640875" w:rsidR="00CC0CDB" w:rsidRDefault="00CC0CDB" w:rsidP="00CC0CDB">
      <w:r>
        <w:t xml:space="preserve">During the early morning hours of October 20, 2017, </w:t>
      </w:r>
      <w:proofErr w:type="spellStart"/>
      <w:r>
        <w:t>McShann</w:t>
      </w:r>
      <w:proofErr w:type="spellEnd"/>
      <w:r>
        <w:t xml:space="preserve"> was asleep in the driver’s seat of a locked, running car with his right hand resting on a pistol in his lap and music blaring from the car stereo. Officers, responding to a complaint, determined that the car was registered to a woman whom they were unable to contact. Seconds after officers roused him from sleep, </w:t>
      </w:r>
      <w:proofErr w:type="spellStart"/>
      <w:r>
        <w:t>McShann</w:t>
      </w:r>
      <w:proofErr w:type="spellEnd"/>
      <w:r>
        <w:t xml:space="preserve"> stopped complying with their orders that he keep his hands up and away from the gun. He grabbed the gun and swung it toward the driver-side door, where two officers were positioned. Fearing for their safety and that of their fellow officers, the officers opened fire, killing </w:t>
      </w:r>
      <w:proofErr w:type="spellStart"/>
      <w:r>
        <w:t>McShann</w:t>
      </w:r>
      <w:proofErr w:type="spellEnd"/>
      <w:r>
        <w:t xml:space="preserve">. After the shooting, the officers immediately called for medical assistance and attempted first aid. The district court concluded the use of deadly force was reasonable and granted the officers summary judgment on excessive force claims, 42 U.S.C. 1983, by </w:t>
      </w:r>
      <w:proofErr w:type="spellStart"/>
      <w:r>
        <w:t>McShann’s</w:t>
      </w:r>
      <w:proofErr w:type="spellEnd"/>
      <w:r>
        <w:t xml:space="preserve"> estate. The Sixth Circuit affirmed. The plaintiff’s expert’s testimony that “[t]he </w:t>
      </w:r>
      <w:proofErr w:type="gramStart"/>
      <w:r>
        <w:t>lack</w:t>
      </w:r>
      <w:proofErr w:type="gramEnd"/>
      <w:r>
        <w:t xml:space="preserve"> of damage to the gun provides clear evidence that Mr. </w:t>
      </w:r>
      <w:proofErr w:type="spellStart"/>
      <w:r>
        <w:t>McShann</w:t>
      </w:r>
      <w:proofErr w:type="spellEnd"/>
      <w:r>
        <w:t xml:space="preserve"> was not holding the gun when he was shot in the hand” did not create a genuine issue of material fact. Such speculation is not enough to controvert consistent officer testimony.</w:t>
      </w:r>
    </w:p>
    <w:p w14:paraId="59A5361C" w14:textId="3219C68F" w:rsidR="00CC0CDB" w:rsidRDefault="00CC0CDB" w:rsidP="00CC0CDB"/>
    <w:p w14:paraId="6CA3243A" w14:textId="5B116AF8" w:rsidR="00CC0CDB" w:rsidRDefault="00CC0CDB" w:rsidP="00CC0CDB">
      <w:r>
        <w:t>H</w:t>
      </w:r>
      <w:r>
        <w:t>enderson v. Georgia</w:t>
      </w:r>
      <w:r>
        <w:t xml:space="preserve">   GASCT    1FEB21</w:t>
      </w:r>
    </w:p>
    <w:p w14:paraId="21E3357E" w14:textId="46419631" w:rsidR="00CC0CDB" w:rsidRDefault="00CC0CDB" w:rsidP="00CC0CDB">
      <w:proofErr w:type="spellStart"/>
      <w:r>
        <w:t>Aquillous</w:t>
      </w:r>
      <w:proofErr w:type="spellEnd"/>
      <w:r>
        <w:t xml:space="preserve"> Rayon Henderson tried by jury and convicted of malice murder and other offenses in connection with the 2016 shooting death of Timothy Hill. His amended motion for new trial was denied, and he appealed, arguing the trial court erred in: (1) denying his motion to suppress his custodial statement; and (2) excluding of Henderson’s testimony that Hill said he had been in prison. Finding no reversible error, the Georgia Supreme Court affirmed.</w:t>
      </w:r>
    </w:p>
    <w:p w14:paraId="5D2BB76E" w14:textId="7128EACC" w:rsidR="00CC0CDB" w:rsidRDefault="00CC0CDB" w:rsidP="00CC0CDB"/>
    <w:p w14:paraId="0F0EA255" w14:textId="3FCA9CC4" w:rsidR="00CC0CDB" w:rsidRDefault="00CC0CDB" w:rsidP="00CC0CDB">
      <w:r>
        <w:t>K</w:t>
      </w:r>
      <w:r>
        <w:t>irkland v. Georgia</w:t>
      </w:r>
      <w:r>
        <w:t xml:space="preserve">   GASCT </w:t>
      </w:r>
      <w:r w:rsidR="00792CA2">
        <w:t>1FEB21</w:t>
      </w:r>
    </w:p>
    <w:p w14:paraId="49C48D45" w14:textId="5AECDFF2" w:rsidR="00CC0CDB" w:rsidRDefault="00CC0CDB" w:rsidP="00CC0CDB">
      <w:r>
        <w:t>Johnathon Kirkland appealed his convictions for malice murder and related offenses, contending the trial court erred by failing to suppress an identification of him made by means of a photo lineup. Specifically, Kirkland contended the photo-lineup procedure was unduly suggestive. Finding no reversible error, the Georgia Supreme Court affirmed Kirkland's convictions.</w:t>
      </w:r>
    </w:p>
    <w:p w14:paraId="4C583176" w14:textId="6E6E60F1" w:rsidR="00792CA2" w:rsidRDefault="00792CA2" w:rsidP="00CC0CDB"/>
    <w:p w14:paraId="1975D9E0" w14:textId="34211891" w:rsidR="0056602B" w:rsidRDefault="0056602B" w:rsidP="0056602B">
      <w:r>
        <w:t>S</w:t>
      </w:r>
      <w:r>
        <w:t xml:space="preserve">tate v. </w:t>
      </w:r>
      <w:proofErr w:type="gramStart"/>
      <w:r>
        <w:t>Carter</w:t>
      </w:r>
      <w:r>
        <w:t xml:space="preserve">  MDCOA</w:t>
      </w:r>
      <w:proofErr w:type="gramEnd"/>
      <w:r>
        <w:t xml:space="preserve">   29JAN21</w:t>
      </w:r>
    </w:p>
    <w:p w14:paraId="1B89FF08" w14:textId="74B84791" w:rsidR="00792CA2" w:rsidRDefault="0056602B" w:rsidP="0056602B">
      <w:r>
        <w:t xml:space="preserve">The Court of Appeals affirmed the judgment of the court of special appeals reversing Defendant's convictions on the grounds that the circuit court should have granted Defendant's motion to suppress, holding that the State failed to meet its burden of establishing the constitutionality of Defendant's seizure at the suppression hearing. When Maryland Transit Administration (MTA) police officers conducted a fare sweep aboard a Light Rail train Defendant confessed that he did not have a ticket. An officer obtained identifying information from Defendant and ran a warrant check on him revealing the existence of a warrant for Defendant's arrest. In attempting to arrest Defendant, officers saw that Defendant had a gun. Defendant moved to suppress the gun, arguing that the fare sweep constituted a </w:t>
      </w:r>
      <w:r>
        <w:lastRenderedPageBreak/>
        <w:t xml:space="preserve">warrantless seizure not based on reasonable suspicion. The circuit court denied the motion to suppress. The court of special appeals reversed, concluding that the circuit court erred in denying Defendant's suppression motion. The Court of Appeals affirmed, holding (1) police officers effected a seizure of Defendant without reasonable suspicion by announcing the fare sweep, and Defendant did not impliedly consent to the seizure by riding the train; and (2) the record was insufficiently developed to conclude whether Light Rail sweeps are constitutional under the special </w:t>
      </w:r>
      <w:proofErr w:type="gramStart"/>
      <w:r>
        <w:t>needs</w:t>
      </w:r>
      <w:proofErr w:type="gramEnd"/>
      <w:r>
        <w:t xml:space="preserve"> doctrine.</w:t>
      </w:r>
    </w:p>
    <w:p w14:paraId="5C9E7E29" w14:textId="475AC7BB" w:rsidR="0056602B" w:rsidRDefault="0056602B" w:rsidP="0056602B"/>
    <w:p w14:paraId="10E22434" w14:textId="03B2EB7E" w:rsidR="0056602B" w:rsidRDefault="0056602B" w:rsidP="0056602B">
      <w:r>
        <w:t>S</w:t>
      </w:r>
      <w:r>
        <w:t>tate v. Halverson</w:t>
      </w:r>
      <w:r>
        <w:t xml:space="preserve">   WISCT   29JAN21</w:t>
      </w:r>
    </w:p>
    <w:p w14:paraId="00AD2CCD" w14:textId="020103D7" w:rsidR="0056602B" w:rsidRDefault="0056602B" w:rsidP="0056602B">
      <w:r>
        <w:t>The Supreme Court remanded this case to the circuit court with directions to deny Defendant's motion to dismiss, holding that Defendant was not in custody for purposes of Miranda v. Arizona, 384 U.S. 436 (1966), when he was interviewed by a police officer. Defendant was an inmate in jail when he returned a call from an officer regarding an incident at Defendant's prior correctional institution. During the call, during which no Miranda warnings were given, Defendant admitted to the officer that he took and destroyed an inmate's missing property. The circuit court granted Defendant's motion to suppress, concluding that it was bound to apply the per se rule set forth in State v. Armstrong, 588 N.W.2d 606 (Wis. 1999), that incarcerated individuals are in custody for Miranda purposes. The court of appeals reversed, holding that the per se rule adopted in Armstrong was effectively overruled by the United States Supreme Court in Howes v. Fields, 565 U.S. 499 (2012). The Supreme Court affirmed, holding (1) the decision in Howes functionally overruled Armstrong's per se rule; and (2) Defendant's circumstances did not satisfy the standard requirements for custody under Miranda's framework.</w:t>
      </w:r>
    </w:p>
    <w:p w14:paraId="7BFCF205" w14:textId="31DD9C63" w:rsidR="0056602B" w:rsidRDefault="0056602B" w:rsidP="0056602B"/>
    <w:p w14:paraId="549D027A" w14:textId="67582D3B" w:rsidR="0056602B" w:rsidRDefault="0056602B" w:rsidP="0056602B">
      <w:r>
        <w:t>Wi</w:t>
      </w:r>
      <w:r>
        <w:t>ngate v. Fulford</w:t>
      </w:r>
      <w:r>
        <w:t xml:space="preserve">   4thCIR   4FEB21</w:t>
      </w:r>
    </w:p>
    <w:p w14:paraId="1DC54208" w14:textId="5544D735" w:rsidR="0056602B" w:rsidRDefault="0056602B" w:rsidP="0056602B">
      <w:r>
        <w:t xml:space="preserve">Plaintiff filed suit under 42 U.S.C. 1983 and Virginia common law, challenging his stop, arrest, and subsequent prosecution. The district court denied plaintiff's motion for summary judgment and granted the officers' motion for summary judgment on each of plaintiff's claims. The Fourth Circuit held that, when Deputy Fulford told plaintiff that he was not free to leave until he identified himself, this unambiguous restraint on plaintiff's liberty converted the previously voluntary encounter into a compelled detention—an investigatory stop. Furthermore, the district court erred in finding that Fulford's stop was supported by reasonable and particularized suspicion. In this case, it is not enough that Fulford first began to suspect criminal activity when a man that he intended to help approached him in dark clothing. The court also held that plaintiff's arrest was likewise unlawful where Stafford County Ordinance 17–7(c), which makes it a crime for any person at a public place or place open to the public to refuse to identify himself at the request of a uniformed law-enforcement officer if the surrounding circumstances are such as to indicate to a reasonable man that the public safety requires such identification, is unconstitutional when applied outside the context of an investigatory stop. The court further held that Fulford is not entitled to qualified immunity for his unconstitutional investigatory stop, but the officers are entitled to qualified immunity for their unlawful arrest under Stafford County Ordinance 17–7(c). Until today, the court explained that no federal court has prescribed the constitutional limits of section 17-7(c)'s application and thus this right was not clearly established at the time of plaintiff's arrest. Finally, the court affirmed the district court's grant of summary judgment for </w:t>
      </w:r>
      <w:r>
        <w:lastRenderedPageBreak/>
        <w:t>the officers on plaintiff's claims under the Virginia common law. The court affirmed in part, reversed in part, vacated in part, and remanded with instructions</w:t>
      </w:r>
      <w:r w:rsidR="009E7DF2">
        <w:t>.</w:t>
      </w:r>
    </w:p>
    <w:p w14:paraId="4D00FFA5" w14:textId="3A5C2C4B" w:rsidR="009E7DF2" w:rsidRDefault="009E7DF2" w:rsidP="0056602B"/>
    <w:p w14:paraId="6B954220" w14:textId="4278AAB5" w:rsidR="009E7DF2" w:rsidRDefault="009E7DF2" w:rsidP="009E7DF2">
      <w:r>
        <w:t>S</w:t>
      </w:r>
      <w:r>
        <w:t>tate v. Glenn</w:t>
      </w:r>
      <w:r>
        <w:t xml:space="preserve">   </w:t>
      </w:r>
      <w:proofErr w:type="spellStart"/>
      <w:r>
        <w:t>MESCt</w:t>
      </w:r>
      <w:proofErr w:type="spellEnd"/>
      <w:r>
        <w:t xml:space="preserve">  28JAN21</w:t>
      </w:r>
    </w:p>
    <w:p w14:paraId="7D1BFA6E" w14:textId="2A39BCF1" w:rsidR="009E7DF2" w:rsidRDefault="009E7DF2" w:rsidP="009E7DF2">
      <w:r>
        <w:t>The Supreme Judicial Court affirmed Defendant's conviction of possession of sexually explicit material, holding that the superior court did not err by denying Defendant's motion to suppress on the grounds that Defendant, despite his diagnosis of Autism Spectrum Disorder (ASD), was capable of voluntary consent. Defendant sought to suppress his statements to police regarding sexually explicit material depicting minors found on his electronic tablet and any evidence of sexually explicit materials depicting minors discovered as a result. The superior court denied Defendant's motion to suppress, concluding that Defendant had the capacity to and did voluntarily speak to the police and consent to the search of his tablet. The Supreme Judicial Court affirmed, holding that Defendant's ASD did not render his statements or the search of his tablet involuntary.</w:t>
      </w:r>
    </w:p>
    <w:p w14:paraId="04124591" w14:textId="4C038140" w:rsidR="009E7DF2" w:rsidRDefault="009E7DF2" w:rsidP="009E7DF2"/>
    <w:p w14:paraId="3D824938" w14:textId="77777777" w:rsidR="009E7DF2" w:rsidRDefault="009E7DF2" w:rsidP="009E7DF2"/>
    <w:sectPr w:rsidR="009E7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DB"/>
    <w:rsid w:val="004E0CAA"/>
    <w:rsid w:val="0056602B"/>
    <w:rsid w:val="006D1225"/>
    <w:rsid w:val="007753F1"/>
    <w:rsid w:val="00792CA2"/>
    <w:rsid w:val="009E7DF2"/>
    <w:rsid w:val="00CC0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081C"/>
  <w15:chartTrackingRefBased/>
  <w15:docId w15:val="{C05BCF79-8D3A-4C56-A79E-9F4EF2A3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2</cp:revision>
  <dcterms:created xsi:type="dcterms:W3CDTF">2021-02-05T14:18:00Z</dcterms:created>
  <dcterms:modified xsi:type="dcterms:W3CDTF">2021-02-05T16:28:00Z</dcterms:modified>
</cp:coreProperties>
</file>