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E0BD65" w14:textId="4A273F4F" w:rsidR="00BD5844" w:rsidRDefault="00006146">
      <w:r>
        <w:t>26 AUGUST 2022 CASES</w:t>
      </w:r>
    </w:p>
    <w:p w14:paraId="5B44A95D" w14:textId="5EB49556" w:rsidR="00006146" w:rsidRDefault="00006146"/>
    <w:p w14:paraId="50D1E3B3" w14:textId="77777777" w:rsidR="00006146" w:rsidRDefault="00006146"/>
    <w:p w14:paraId="36649F0F" w14:textId="77777777" w:rsidR="00006146" w:rsidRDefault="00006146" w:rsidP="00006146">
      <w:r>
        <w:t>USA v. Morton</w:t>
      </w:r>
    </w:p>
    <w:p w14:paraId="4C96D597" w14:textId="77777777" w:rsidR="00006146" w:rsidRDefault="00006146" w:rsidP="00006146">
      <w:r>
        <w:t>Court: US Court of Appeals for the Fifth Circuit</w:t>
      </w:r>
    </w:p>
    <w:p w14:paraId="64062642" w14:textId="77777777" w:rsidR="00006146" w:rsidRDefault="00006146" w:rsidP="00006146">
      <w:r>
        <w:t>Opinion Date: August 23, 2022</w:t>
      </w:r>
    </w:p>
    <w:p w14:paraId="5AF6AA3C" w14:textId="77777777" w:rsidR="00006146" w:rsidRDefault="00006146" w:rsidP="00006146"/>
    <w:p w14:paraId="0D84FD96" w14:textId="77777777" w:rsidR="00006146" w:rsidRDefault="00006146" w:rsidP="00006146">
      <w:r>
        <w:t>State troopers arrested Defendant after finding drugs in his car during a traffic stop. Morton also had three cell phones in the car. A state judge later signed warrants authorizing searches of the phones for evidence of drug crime. The warrants allowed law enforcement to look at photos on the phones. When doing so, troopers discovered photos that appeared to be child pornography. This discovery led to a second set of search warrants. The ensuing forensic examination of the phones revealed almost 20,000 images of child pornography. This federal prosecution for receipt of child pornography followed. Defendant argues the evidence discovered during those searches should be suppressed. Defendant principally tries to defeat good faith by invoking the third exception, which involves what are commonly known as “bare bones” affidavits.</w:t>
      </w:r>
    </w:p>
    <w:p w14:paraId="42011E3C" w14:textId="77777777" w:rsidR="00006146" w:rsidRDefault="00006146" w:rsidP="00006146">
      <w:r>
        <w:t xml:space="preserve"> </w:t>
      </w:r>
    </w:p>
    <w:p w14:paraId="6209B7C4" w14:textId="3A5ACCFD" w:rsidR="00006146" w:rsidRDefault="00006146" w:rsidP="00006146">
      <w:r>
        <w:t xml:space="preserve">The Fifth Circuit affirmed the district court’s decision. The court held that law enforcement is usually entitled to rely on warrants and none of the exceptions that undermine good-faith reliance on a judge’s authorization applies. The court wrote that the affidavits used to search Defendant’s phones are not of this genre. Each is over three pages and fully details the facts surrounding Defendant’s arrest and the discovery of drugs and his phones. They explain where the marijuana and glass pipe </w:t>
      </w:r>
      <w:proofErr w:type="gramStart"/>
      <w:r>
        <w:t>was</w:t>
      </w:r>
      <w:proofErr w:type="gramEnd"/>
      <w:r>
        <w:t xml:space="preserve"> discovered, the number (16) and location of the ecstasy pills, and the affiant’s knowledge that cellphones are used for receipt and delivery of illegal narcotics. The court explained that it decides only that the officers acted in good faith when relying on the judge’s decision to issue the warrants.</w:t>
      </w:r>
    </w:p>
    <w:p w14:paraId="4876D21D" w14:textId="116771F6" w:rsidR="00006146" w:rsidRDefault="00006146" w:rsidP="00006146"/>
    <w:p w14:paraId="488BB286" w14:textId="324C9573" w:rsidR="00006146" w:rsidRDefault="00006146" w:rsidP="00006146"/>
    <w:p w14:paraId="5A25E59C" w14:textId="77777777" w:rsidR="00D772DA" w:rsidRDefault="00D772DA" w:rsidP="00D772DA">
      <w:r>
        <w:t>Flowers v. Renfro</w:t>
      </w:r>
    </w:p>
    <w:p w14:paraId="747DD4D8" w14:textId="77777777" w:rsidR="00D772DA" w:rsidRDefault="00D772DA" w:rsidP="00D772DA">
      <w:r>
        <w:t>Court: US Court of Appeals for the Seventh Circuit</w:t>
      </w:r>
    </w:p>
    <w:p w14:paraId="7E8D8172" w14:textId="77777777" w:rsidR="00D772DA" w:rsidRDefault="00D772DA" w:rsidP="00D772DA">
      <w:r>
        <w:t>Opinion Date: August 19, 2022</w:t>
      </w:r>
    </w:p>
    <w:p w14:paraId="15ABF3F8" w14:textId="77777777" w:rsidR="00D772DA" w:rsidRDefault="00D772DA" w:rsidP="00D772DA"/>
    <w:p w14:paraId="58A6611C" w14:textId="77777777" w:rsidR="00D772DA" w:rsidRDefault="00D772DA" w:rsidP="00D772DA">
      <w:r>
        <w:t>A man grabbed Flowers’s girlfriend in a bar. After a verbal altercation, the bar’s owner asked both men to leave. Flowers protested but left the bar accompanied by a bouncer and Davis, an off-duty police officer employed as a security guard. While Flowers waited in the parking lot for his girlfriend, he and Davis talked. Officer Renfro, another off-duty Springfield police officer employed by the bar, without warning or provocation, grabbed Flowers and slammed him to the pavement face first, knocking out Flowers’ tooth. Renfro then placed Flowers under arrest. Flowers had not verbally or physically threatened the officers and was not showing any indication that he would resist arrest. The only conduct that Renfro claims justified slamming Flowers to the ground was that Flowers questioned the command to leave the bar and turned around to face Davis within one to two feet of him. Flowers disputes that he ever turned to face Davis.</w:t>
      </w:r>
    </w:p>
    <w:p w14:paraId="01E85DB2" w14:textId="77777777" w:rsidR="00D772DA" w:rsidRDefault="00D772DA" w:rsidP="00D772DA"/>
    <w:p w14:paraId="3F0E1D4A" w14:textId="3F44410E" w:rsidR="00006146" w:rsidRDefault="00D772DA" w:rsidP="00D772DA">
      <w:r>
        <w:t>Flowers sued the city, Renfro, and Davis under 42 U.S.C. 1983. The district court denied the defendants’ motions for summary judgment, which asserted that the officers did not violate Flowers’ civil rights and were entitled to qualified immunity. The Seventh Circuit dismissed an appeal for lack of jurisdiction because the district court held that there are genuine issues of disputed fact, material to Flowers’ claim against Renfro; the reasonableness of that use of force would inform a decision on qualified immunity.</w:t>
      </w:r>
    </w:p>
    <w:p w14:paraId="38808FA0" w14:textId="3712C94A" w:rsidR="00D772DA" w:rsidRDefault="00D772DA" w:rsidP="00D772DA"/>
    <w:p w14:paraId="6E8DA502" w14:textId="77777777" w:rsidR="005751C3" w:rsidRDefault="005751C3" w:rsidP="005751C3">
      <w:r>
        <w:lastRenderedPageBreak/>
        <w:t>United States v. Christopher Hay</w:t>
      </w:r>
    </w:p>
    <w:p w14:paraId="6257B096" w14:textId="77777777" w:rsidR="005751C3" w:rsidRDefault="005751C3" w:rsidP="005751C3">
      <w:r>
        <w:t>Court: US Court of Appeals for the Eighth Circuit</w:t>
      </w:r>
    </w:p>
    <w:p w14:paraId="234DE9F2" w14:textId="77777777" w:rsidR="005751C3" w:rsidRDefault="005751C3" w:rsidP="005751C3">
      <w:r>
        <w:t>Opinion Date: August 23, 2022</w:t>
      </w:r>
    </w:p>
    <w:p w14:paraId="7F14A9CC" w14:textId="77777777" w:rsidR="005751C3" w:rsidRDefault="005751C3" w:rsidP="005751C3"/>
    <w:p w14:paraId="790F4609" w14:textId="77777777" w:rsidR="005751C3" w:rsidRDefault="005751C3" w:rsidP="005751C3">
      <w:r>
        <w:t>Defendant pleaded guilty to one count of illegal possession of firearms and ammunition and two counts of possession of unregistered firearms. Defendant preserved his right to appeal the district court’s denial of his motion to suppress and appealed.</w:t>
      </w:r>
    </w:p>
    <w:p w14:paraId="59FEC107" w14:textId="77777777" w:rsidR="005751C3" w:rsidRDefault="005751C3" w:rsidP="005751C3">
      <w:r>
        <w:t xml:space="preserve"> </w:t>
      </w:r>
    </w:p>
    <w:p w14:paraId="66C0DF64" w14:textId="3CC5CD27" w:rsidR="00D772DA" w:rsidRDefault="005751C3" w:rsidP="005751C3">
      <w:r>
        <w:t>Defendant first argued that the warrant application did not establish probable cause to justify the search of his residence because it relied on the confidential Bulletin, which in Defendant’s view represents an attempt by the ATF to improperly change the law by defining all fuel filters and solvent traps as silencers regardless of how a person intends to use them. He further asserted that hat the good faith exception does not apply because the search warrant application misstated the law regarding firearm silencers and unmodified fuel filters and omitted the intent element, misleading the judge considering the warrant as to both law and facts. Here, the court explained, that the warrant application was thin, but officers were not “entirely unreasonable” in their belief that the warrant was supported by probable cause, nor was the warrant so deficient that they “could not reasonably presume its validity.” The court agreed with the district court that, regardless of whether the warrant was supported by probable cause, the good faith exception applies.</w:t>
      </w:r>
    </w:p>
    <w:p w14:paraId="0B5C216B" w14:textId="687ACDF3" w:rsidR="005751C3" w:rsidRDefault="005751C3" w:rsidP="005751C3"/>
    <w:p w14:paraId="4A3BD970" w14:textId="751188AF" w:rsidR="005751C3" w:rsidRDefault="005751C3" w:rsidP="005751C3"/>
    <w:p w14:paraId="3CB58A1A" w14:textId="1B7FC9E9" w:rsidR="005751C3" w:rsidRDefault="005751C3" w:rsidP="005751C3"/>
    <w:p w14:paraId="37B4E8C4" w14:textId="77777777" w:rsidR="005751C3" w:rsidRDefault="005751C3" w:rsidP="005751C3">
      <w:r>
        <w:t>RENO V. RON DAVIS</w:t>
      </w:r>
    </w:p>
    <w:p w14:paraId="21FC76DE" w14:textId="77777777" w:rsidR="005751C3" w:rsidRDefault="005751C3" w:rsidP="005751C3">
      <w:r>
        <w:t>Court: US Court of Appeals for the Ninth Circuit</w:t>
      </w:r>
    </w:p>
    <w:p w14:paraId="3C33EEBA" w14:textId="77777777" w:rsidR="005751C3" w:rsidRDefault="005751C3" w:rsidP="005751C3">
      <w:r>
        <w:t>Opinion Date: August 19, 2022</w:t>
      </w:r>
    </w:p>
    <w:p w14:paraId="2F5A1975" w14:textId="77777777" w:rsidR="005751C3" w:rsidRDefault="005751C3" w:rsidP="005751C3"/>
    <w:p w14:paraId="73FE61C6" w14:textId="77777777" w:rsidR="005751C3" w:rsidRDefault="005751C3" w:rsidP="005751C3">
      <w:r>
        <w:t>The district court issued a certificate of appealability on two issues: Respondent’s due process claims regarding the destruction of police records (Claims 17 and 18); and the state trial court’s failure to instruct the jury on Cal. Penal Code Section 272, which Respondent asserted was a lesser included offense of one of the felony charges (Claim 48n).</w:t>
      </w:r>
    </w:p>
    <w:p w14:paraId="00F9CC10" w14:textId="77777777" w:rsidR="005751C3" w:rsidRDefault="005751C3" w:rsidP="005751C3">
      <w:r>
        <w:t xml:space="preserve"> </w:t>
      </w:r>
    </w:p>
    <w:p w14:paraId="0A164148" w14:textId="77777777" w:rsidR="005751C3" w:rsidRDefault="005751C3" w:rsidP="005751C3">
      <w:r>
        <w:t>The Ninth Circuit affirmed the district court’s denial of Respondent’s amended 28 U.S.C. Section 2254 habeas corpus petition challenging his California conviction, on retrial, and death sentence for two first-degree murders and one second-degree murder.</w:t>
      </w:r>
    </w:p>
    <w:p w14:paraId="12D314DE" w14:textId="77777777" w:rsidR="005751C3" w:rsidRDefault="005751C3" w:rsidP="005751C3">
      <w:r>
        <w:t xml:space="preserve"> </w:t>
      </w:r>
    </w:p>
    <w:p w14:paraId="46D43FFC" w14:textId="77777777" w:rsidR="005751C3" w:rsidRDefault="005751C3" w:rsidP="005751C3">
      <w:r>
        <w:t>The panel held that the California Supreme Court reasonably applied Arizona v. Youngblood, 488 U.S. 51 (1988), instead of Brady v. Maryland, 373 U.S. 83 (1963), because the record does not support Respondent’s assertion that the purged records contained material exculpatory evidence. The panel also held that the California Supreme Court did not act unreasonably when, applying Youngblood, it affirmed the trial court’s factual finding that there was no evidence that the police department acted in bad faith.</w:t>
      </w:r>
    </w:p>
    <w:p w14:paraId="57A772A3" w14:textId="77777777" w:rsidR="005751C3" w:rsidRDefault="005751C3" w:rsidP="005751C3">
      <w:r>
        <w:t xml:space="preserve"> </w:t>
      </w:r>
    </w:p>
    <w:p w14:paraId="1071A78B" w14:textId="7F841ABB" w:rsidR="005751C3" w:rsidRDefault="005751C3" w:rsidP="005751C3">
      <w:r>
        <w:t>The panel held that the instructions in Respondent’s case—which did not give the jury “an all-or-nothing choice” between the capital first-degree murder charge and innocence, but rather gave the jury the option of finding Reno guilty of the lesser included non-capital offenses of second-degree murder or voluntary manslaughter—did not run afoul of Beck v. Alabama, 447 U.S. 625 (1980), and there was no constitutional error.</w:t>
      </w:r>
    </w:p>
    <w:p w14:paraId="0A026362" w14:textId="18AB6C5D" w:rsidR="005751C3" w:rsidRDefault="005751C3" w:rsidP="005751C3"/>
    <w:p w14:paraId="0368E363" w14:textId="69E7F7E6" w:rsidR="005751C3" w:rsidRDefault="005751C3" w:rsidP="005751C3"/>
    <w:p w14:paraId="2A83D71D" w14:textId="77777777" w:rsidR="005751C3" w:rsidRDefault="005751C3" w:rsidP="005751C3">
      <w:proofErr w:type="spellStart"/>
      <w:r>
        <w:lastRenderedPageBreak/>
        <w:t>Bohanon</w:t>
      </w:r>
      <w:proofErr w:type="spellEnd"/>
      <w:r>
        <w:t xml:space="preserve"> v. City of Indianapolis</w:t>
      </w:r>
    </w:p>
    <w:p w14:paraId="1E332B7B" w14:textId="77777777" w:rsidR="005751C3" w:rsidRDefault="005751C3" w:rsidP="005751C3">
      <w:r>
        <w:t>Court: US Court of Appeals for the Seventh Circuit</w:t>
      </w:r>
    </w:p>
    <w:p w14:paraId="297A4562" w14:textId="77777777" w:rsidR="005751C3" w:rsidRDefault="005751C3" w:rsidP="005751C3">
      <w:r>
        <w:t>Opinion Date: August 22, 2022</w:t>
      </w:r>
    </w:p>
    <w:p w14:paraId="744AB74F" w14:textId="77777777" w:rsidR="005751C3" w:rsidRDefault="005751C3" w:rsidP="005751C3"/>
    <w:p w14:paraId="7167374D" w14:textId="77777777" w:rsidR="005751C3" w:rsidRDefault="005751C3" w:rsidP="005751C3">
      <w:r>
        <w:t xml:space="preserve">Indianapolis Police Officers went to </w:t>
      </w:r>
      <w:proofErr w:type="spellStart"/>
      <w:r>
        <w:t>Mikie’s</w:t>
      </w:r>
      <w:proofErr w:type="spellEnd"/>
      <w:r>
        <w:t xml:space="preserve"> Pub in Indianapolis. Both officers were off duty and in plain clothes. </w:t>
      </w:r>
      <w:proofErr w:type="spellStart"/>
      <w:r>
        <w:t>Bohanon</w:t>
      </w:r>
      <w:proofErr w:type="spellEnd"/>
      <w:r>
        <w:t xml:space="preserve"> argued with the bartender about his bill. The officers intervened and brutally beat </w:t>
      </w:r>
      <w:proofErr w:type="spellStart"/>
      <w:r>
        <w:t>Bohanon</w:t>
      </w:r>
      <w:proofErr w:type="spellEnd"/>
      <w:r>
        <w:t xml:space="preserve"> in the parking lot. </w:t>
      </w:r>
      <w:proofErr w:type="spellStart"/>
      <w:r>
        <w:t>Bohanon</w:t>
      </w:r>
      <w:proofErr w:type="spellEnd"/>
      <w:r>
        <w:t xml:space="preserve"> sued Indianapolis under 42 U.S.C. 1983 alleging that the officers used excessive force and that his injuries were caused by the city’s policies, which prohibit off-duty officers with any alcohol in their blood from performing law-enforcement functions subject to a narrow exception. An officer may do so only in an “extreme emergency </w:t>
      </w:r>
      <w:proofErr w:type="gramStart"/>
      <w:r>
        <w:t>situation[</w:t>
      </w:r>
      <w:proofErr w:type="gramEnd"/>
      <w:r>
        <w:t xml:space="preserve">]” where police “action is required to prevent injury to the off duty [officer] or another, or to prevent the commission of a felony or other serious offense.” </w:t>
      </w:r>
      <w:proofErr w:type="spellStart"/>
      <w:r>
        <w:t>Bohanon</w:t>
      </w:r>
      <w:proofErr w:type="spellEnd"/>
      <w:r>
        <w:t xml:space="preserve"> argued that the city was deliberately indifferent to the obvious risk of constitutional violations. A jury awarded </w:t>
      </w:r>
      <w:proofErr w:type="spellStart"/>
      <w:r>
        <w:t>Bohanon</w:t>
      </w:r>
      <w:proofErr w:type="spellEnd"/>
      <w:r>
        <w:t xml:space="preserve"> $1.24 million. The judge granted Indianapolis judgment as a matter of law.</w:t>
      </w:r>
    </w:p>
    <w:p w14:paraId="1FC16A81" w14:textId="77777777" w:rsidR="005751C3" w:rsidRDefault="005751C3" w:rsidP="005751C3"/>
    <w:p w14:paraId="031E0F78" w14:textId="07C2F501" w:rsidR="005751C3" w:rsidRDefault="005751C3" w:rsidP="005751C3">
      <w:r>
        <w:t xml:space="preserve">The Seventh Circuit affirmed. For the city to be liable, a municipal policy or custom must have caused </w:t>
      </w:r>
      <w:proofErr w:type="spellStart"/>
      <w:r>
        <w:t>Bohanon’s</w:t>
      </w:r>
      <w:proofErr w:type="spellEnd"/>
      <w:r>
        <w:t xml:space="preserve"> constitutional injury. The narrow exception in the city’s substance-abuse policy did not present a policy “gap” that made it glaringly obvious that off-duty officers would use excessive force. Because no extreme </w:t>
      </w:r>
      <w:proofErr w:type="gramStart"/>
      <w:r>
        <w:t>emergency situation</w:t>
      </w:r>
      <w:proofErr w:type="gramEnd"/>
      <w:r>
        <w:t xml:space="preserve"> existed at the time of the incident, those policies expressly prohibited the officers’ conduct and were not the “moving force” cause of </w:t>
      </w:r>
      <w:proofErr w:type="spellStart"/>
      <w:r>
        <w:t>Bohanon’s</w:t>
      </w:r>
      <w:proofErr w:type="spellEnd"/>
      <w:r>
        <w:t xml:space="preserve"> injury.</w:t>
      </w:r>
    </w:p>
    <w:p w14:paraId="5D3DDF2F" w14:textId="29A7F447" w:rsidR="005751C3" w:rsidRDefault="005751C3" w:rsidP="005751C3"/>
    <w:p w14:paraId="2B531858" w14:textId="2DD9A590" w:rsidR="005751C3" w:rsidRDefault="005751C3" w:rsidP="005751C3"/>
    <w:p w14:paraId="11B144A1" w14:textId="77777777" w:rsidR="005751C3" w:rsidRDefault="005751C3" w:rsidP="005751C3"/>
    <w:sectPr w:rsidR="005751C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6146"/>
    <w:rsid w:val="00006146"/>
    <w:rsid w:val="00310673"/>
    <w:rsid w:val="005751C3"/>
    <w:rsid w:val="00BD5844"/>
    <w:rsid w:val="00D772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F0B840"/>
  <w15:chartTrackingRefBased/>
  <w15:docId w15:val="{22B8D0EE-FB70-4BA9-8C7C-6D54988DBA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56</TotalTime>
  <Pages>3</Pages>
  <Words>1192</Words>
  <Characters>6800</Characters>
  <Application>Microsoft Office Word</Application>
  <DocSecurity>0</DocSecurity>
  <Lines>56</Lines>
  <Paragraphs>15</Paragraphs>
  <ScaleCrop>false</ScaleCrop>
  <Company/>
  <LinksUpToDate>false</LinksUpToDate>
  <CharactersWithSpaces>7977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Bruce-Alan Barnard</dc:creator>
  <cp:keywords/>
  <dc:description/>
  <cp:lastModifiedBy>Bruce-Alan Barnard</cp:lastModifiedBy>
  <cp:revision>3</cp:revision>
  <dcterms:created xsi:type="dcterms:W3CDTF">2022-09-21T13:09:00Z</dcterms:created>
  <dcterms:modified xsi:type="dcterms:W3CDTF">2022-09-21T14:05:00Z</dcterms:modified>
</cp:coreProperties>
</file>