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1D19A" w14:textId="1EDBE2E8" w:rsidR="00EC499C" w:rsidRDefault="004649F6">
      <w:r>
        <w:t>CASES 14OCT2022</w:t>
      </w:r>
    </w:p>
    <w:p w14:paraId="749C955A" w14:textId="361A8AF1" w:rsidR="004649F6" w:rsidRDefault="004649F6"/>
    <w:p w14:paraId="1AABAE32" w14:textId="77777777" w:rsidR="003A3A02" w:rsidRDefault="003A3A02" w:rsidP="003A3A02">
      <w:r>
        <w:t>Charette v. State</w:t>
      </w:r>
    </w:p>
    <w:p w14:paraId="7416C3D5" w14:textId="77777777" w:rsidR="003A3A02" w:rsidRDefault="003A3A02" w:rsidP="003A3A02">
      <w:r>
        <w:t>Court: Minnesota Supreme Court</w:t>
      </w:r>
    </w:p>
    <w:p w14:paraId="37BDD8BE" w14:textId="77777777" w:rsidR="003A3A02" w:rsidRDefault="003A3A02" w:rsidP="003A3A02">
      <w:r>
        <w:t>Opinion Date: October 5, 2022</w:t>
      </w:r>
    </w:p>
    <w:p w14:paraId="0930C64C" w14:textId="77777777" w:rsidR="003A3A02" w:rsidRDefault="003A3A02" w:rsidP="003A3A02"/>
    <w:p w14:paraId="735CFE2D" w14:textId="77777777" w:rsidR="003A3A02" w:rsidRDefault="003A3A02" w:rsidP="003A3A02">
      <w:r>
        <w:t>The Supreme Court affirmed the denial of Appellant's petition for postconviction relief arguing that the district court committed reversible error by denying his pretrial motion to suppress his statements to law enforcement officers, holding that the district court did not abuse its discretion by denying Appellant's request for postconviction relief.</w:t>
      </w:r>
    </w:p>
    <w:p w14:paraId="5190084C" w14:textId="77777777" w:rsidR="003A3A02" w:rsidRDefault="003A3A02" w:rsidP="003A3A02"/>
    <w:p w14:paraId="33511319" w14:textId="633AC6FC" w:rsidR="004649F6" w:rsidRDefault="003A3A02" w:rsidP="003A3A02">
      <w:r>
        <w:t>Appellant was convicted of second-degree murder and first-degree arson and sentenced to a total of 528 months in prison. Appellant later filed for postconviction relief, asserting that the district court committed reversible error by denying his pretrial motion to suppress statements he made to law enforcement officers. The district court denied relief on the grounds that Appellant was not subjected to custodial interrogation at the time he made his statements. The court of appeals affirmed on different grounds. The Supreme Court affirmed on the grounds cited by the district court, holding that Defendant could not invoke his Fifth Amendment right to counsel because no custodial interrogation took place.</w:t>
      </w:r>
    </w:p>
    <w:p w14:paraId="60F08E62" w14:textId="07932178" w:rsidR="003A3A02" w:rsidRDefault="003A3A02" w:rsidP="003A3A02"/>
    <w:p w14:paraId="3277A03B" w14:textId="324AD4A5" w:rsidR="003A3A02" w:rsidRDefault="003A3A02" w:rsidP="003A3A02"/>
    <w:p w14:paraId="7BCC9647" w14:textId="77777777" w:rsidR="003A3A02" w:rsidRDefault="003A3A02" w:rsidP="003A3A02"/>
    <w:sectPr w:rsidR="003A3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yMDQxMbcwNbEwMjdT0lEKTi0uzszPAykwrAUAJKgQtiwAAAA="/>
  </w:docVars>
  <w:rsids>
    <w:rsidRoot w:val="004649F6"/>
    <w:rsid w:val="003A3A02"/>
    <w:rsid w:val="004649F6"/>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57074"/>
  <w15:chartTrackingRefBased/>
  <w15:docId w15:val="{46CC3955-12E2-48CF-A1F5-A606F325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2022-10-25T19:57:00Z</dcterms:created>
  <dcterms:modified xsi:type="dcterms:W3CDTF">2022-10-25T20:06:00Z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3dba4233-1255-4a91-9996-eb2aa50a9be9</vt:lpwstr>
  </property>
</Properties>
</file>