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761F7" w14:textId="6EA20700" w:rsidR="00EC499C" w:rsidRDefault="00D94CCA">
      <w:r>
        <w:t>25 NOV CASES</w:t>
      </w:r>
    </w:p>
    <w:p w14:paraId="58F36A9B" w14:textId="0D4DB3D3" w:rsidR="00D94CCA" w:rsidRDefault="00D94CCA"/>
    <w:p w14:paraId="16890289" w14:textId="77777777" w:rsidR="00A448BD" w:rsidRDefault="00A448BD" w:rsidP="00A448BD">
      <w:r>
        <w:t>Moran v. Calumet City, Illinois</w:t>
      </w:r>
    </w:p>
    <w:p w14:paraId="3F4711E6" w14:textId="77777777" w:rsidR="00A448BD" w:rsidRDefault="00A448BD" w:rsidP="00A448BD">
      <w:r>
        <w:t>Court: US Court of Appeals for the Seventh Circuit</w:t>
      </w:r>
    </w:p>
    <w:p w14:paraId="4ED9A067" w14:textId="77777777" w:rsidR="00A448BD" w:rsidRDefault="00A448BD" w:rsidP="00A448BD">
      <w:r>
        <w:t>Opinion Date: November 23, 2022</w:t>
      </w:r>
    </w:p>
    <w:p w14:paraId="0DEB66B6" w14:textId="77777777" w:rsidR="00A448BD" w:rsidRDefault="00A448BD" w:rsidP="00A448BD"/>
    <w:p w14:paraId="50DFFC5D" w14:textId="77777777" w:rsidR="00A448BD" w:rsidRDefault="00A448BD" w:rsidP="00A448BD">
      <w:r>
        <w:t>Moran was convicted of attempted murder and aggravated battery with a firearm for a 2006 Calumet City, Illinois shooting. After the trial, the prosecution learned that exculpatory evidence, including a ballistics report linking the gun used in the Calumet City shooting to a different shooting, had not been turned over to the defense as required by Brady v. Maryland. Moran sought postconviction relief. A state court vacated his conviction. Moran was retried and acquitted in 2017.</w:t>
      </w:r>
    </w:p>
    <w:p w14:paraId="3BE14A50" w14:textId="77777777" w:rsidR="00A448BD" w:rsidRDefault="00A448BD" w:rsidP="00A448BD"/>
    <w:p w14:paraId="78F84E43" w14:textId="2CCF7203" w:rsidR="00D94CCA" w:rsidRDefault="00A448BD" w:rsidP="00A448BD">
      <w:r>
        <w:t>Moran then filed a federal suit (42 U.S.C. 1983) against the city, two detectives who investigated the shooting, and a crime scene technician who mishandled the ballistics report, seeking redress for the decade he spent incarcerated. The district court granted the defendants summary judgment, noting that Moran’s allegation that an Assistant States Attorney knew about the report was a judicial admission that negated an essential element of the claim; prosecutorial knowledge of exculpatory evidence blocks civil liability for police officers. The court stated that even without that judicial admission, the record could not allow a reasonable jury to find that the evidence had been suppressed. Moran moved for leave to amend his complaint. The Seventh Circuit affirmed the denial of that motion. Moran unduly delayed seeking to amend his complaint; he should have known that his complaint contained factual errors at the outset.</w:t>
      </w:r>
    </w:p>
    <w:p w14:paraId="2D55991C" w14:textId="47DF8D9B" w:rsidR="00A448BD" w:rsidRDefault="00A448BD" w:rsidP="00A448BD"/>
    <w:p w14:paraId="66484341" w14:textId="7D490D8B" w:rsidR="00A448BD" w:rsidRDefault="00A448BD" w:rsidP="00A448BD"/>
    <w:p w14:paraId="4C7F4482" w14:textId="77777777" w:rsidR="00A448BD" w:rsidRDefault="00A448BD" w:rsidP="00A448BD">
      <w:r>
        <w:t>United States v. Berrios</w:t>
      </w:r>
    </w:p>
    <w:p w14:paraId="031F67C4" w14:textId="77777777" w:rsidR="00A448BD" w:rsidRDefault="00A448BD" w:rsidP="00A448BD">
      <w:r>
        <w:t>Court: US Court of Appeals for the Seventh Circuit</w:t>
      </w:r>
    </w:p>
    <w:p w14:paraId="53435F98" w14:textId="77777777" w:rsidR="00A448BD" w:rsidRDefault="00A448BD" w:rsidP="00A448BD">
      <w:r>
        <w:t>Opinion Date: November 18, 2022</w:t>
      </w:r>
    </w:p>
    <w:p w14:paraId="5AB73178" w14:textId="77777777" w:rsidR="00A448BD" w:rsidRDefault="00A448BD" w:rsidP="00A448BD"/>
    <w:p w14:paraId="48162325" w14:textId="77777777" w:rsidR="00A448BD" w:rsidRDefault="00A448BD" w:rsidP="00A448BD">
      <w:r>
        <w:t>Mercado, age 41, used an Internet application to meet “Alexis,” a profile operated by an FBI agent conducting an undercover investigation of adults with sexual interests in children. After just minutes of texting, “Alexis” told Mercado she was 15 years old. For the next five days, they texted, exchanged photos, and spoke by phone. Mercado raised sexual topics, describing sexual acts he wanted to engage in with “Alexis.” Mercado sent “Alexis” sexually graphic and suggestive messages and emojis and asked her to smoke marijuana and drink alcoholic beverages with him. They arranged to meet at a house that was actually an FBI operations center. When Mercado arrived, he was arrested. Mercado exhibited health problems. He was taken to a hospital and administered medication. Later, he was interviewed at the hospital, waived his Miranda rights, and made inculpatory admissions.</w:t>
      </w:r>
    </w:p>
    <w:p w14:paraId="144F1970" w14:textId="77777777" w:rsidR="00A448BD" w:rsidRDefault="00A448BD" w:rsidP="00A448BD"/>
    <w:p w14:paraId="76999424" w14:textId="3ADAC568" w:rsidR="00A448BD" w:rsidRDefault="00A448BD" w:rsidP="00A448BD">
      <w:r>
        <w:t>Mercado was charged with attempted enticement of a minor, 18 U.S.C. 2422(b), and use of interstate facilities to attempt to transmit information about a minor, section 2425. He unsuccessfully opposed a government motion to preclude an entrapment defense. That court denied Mercado’s motion to suppress his statements and evidence obtained in his hospital interview. The Seventh Circuit affirmed, upholding those rulings and rejecting an argument that his statements were involuntary as he was under the influence of drugs when he talked to agents, who coerced his statements.</w:t>
      </w:r>
    </w:p>
    <w:p w14:paraId="75D40C3B" w14:textId="62E63163" w:rsidR="006A0520" w:rsidRDefault="006A0520" w:rsidP="00A448BD"/>
    <w:p w14:paraId="340189D8" w14:textId="3A11E601" w:rsidR="006A0520" w:rsidRDefault="006A0520" w:rsidP="00A448BD"/>
    <w:p w14:paraId="5BB19997" w14:textId="475E1EE8" w:rsidR="006A0520" w:rsidRDefault="006A0520" w:rsidP="00A448BD"/>
    <w:p w14:paraId="00D47716" w14:textId="71E9416F" w:rsidR="006A0520" w:rsidRDefault="006A0520" w:rsidP="00A448BD"/>
    <w:p w14:paraId="02C2A789" w14:textId="77777777" w:rsidR="006A0520" w:rsidRDefault="006A0520" w:rsidP="006A0520">
      <w:r>
        <w:lastRenderedPageBreak/>
        <w:t>United States v. Cox</w:t>
      </w:r>
    </w:p>
    <w:p w14:paraId="5D755749" w14:textId="77777777" w:rsidR="006A0520" w:rsidRDefault="006A0520" w:rsidP="006A0520">
      <w:r>
        <w:t>Court: US Court of Appeals for the Seventh Circuit</w:t>
      </w:r>
    </w:p>
    <w:p w14:paraId="30EDB64E" w14:textId="77777777" w:rsidR="006A0520" w:rsidRDefault="006A0520" w:rsidP="006A0520">
      <w:r>
        <w:t>Opinion Date: November 23, 2022</w:t>
      </w:r>
    </w:p>
    <w:p w14:paraId="75449E01" w14:textId="77777777" w:rsidR="006A0520" w:rsidRDefault="006A0520" w:rsidP="006A0520"/>
    <w:p w14:paraId="646E8FC9" w14:textId="77777777" w:rsidR="006A0520" w:rsidRDefault="006A0520" w:rsidP="006A0520">
      <w:r>
        <w:t>The FBI was alerted to a predatory scheme involving various Facebook accounts and (apparently) many victims, including minors. The perpetrator used a Facebook account under a false name, telling the victims that he had nude photos of them, taken from a Facebook account he had “hacked.” He said he would leak the photos if the victims did not meet his demands—chiefly, sending more explicit material. The FBI tracked the internet address associated with some of the messages to Burns Construction, where Cox worked. Agents went to Burns Construction without a search warrant. An owner agreed to allow the agents to search and image the computer in Cox’s office. Cox was not present. The agents then went to Cox’s home. They assured Cox that he could end the conversation at any time and that he would not be arrested that night. When Cox proposed helping the FBI investigate the broader sextortion network in exchange for leniency, the agents responded that such an arrangement was beyond their control. Cox nonetheless made numerous incriminating statements and let the agents take his personal laptop.</w:t>
      </w:r>
    </w:p>
    <w:p w14:paraId="008F02F1" w14:textId="77777777" w:rsidR="006A0520" w:rsidRDefault="006A0520" w:rsidP="006A0520"/>
    <w:p w14:paraId="1C80333E" w14:textId="3C088EEF" w:rsidR="006A0520" w:rsidRDefault="006A0520" w:rsidP="006A0520">
      <w:r>
        <w:t>The Seventh Circuit affirmed Cox’s convictions, rejecting Cox’s claims of Fourth Amendment violations based on the warrantless search, Fifth Amendment violations based on the failure to give Miranda warning, and Sixth Amendment violations based on the court’s evidentiary and procedural decisions. There was sufficient evidence to support his convictions.</w:t>
      </w:r>
    </w:p>
    <w:p w14:paraId="2F6040DA" w14:textId="1AA4BB12" w:rsidR="006A0520" w:rsidRDefault="006A0520" w:rsidP="006A0520"/>
    <w:p w14:paraId="3CA96D24" w14:textId="4ACCE27B" w:rsidR="006A0520" w:rsidRDefault="006A0520" w:rsidP="006A0520"/>
    <w:p w14:paraId="311971CF" w14:textId="382FE5F8" w:rsidR="006A0520" w:rsidRDefault="006A0520" w:rsidP="006A0520"/>
    <w:p w14:paraId="01E186A8" w14:textId="77777777" w:rsidR="00C72381" w:rsidRDefault="00C72381" w:rsidP="00C72381">
      <w:r>
        <w:t>Monjaras v. Texas</w:t>
      </w:r>
    </w:p>
    <w:p w14:paraId="0D75E822" w14:textId="77777777" w:rsidR="00C72381" w:rsidRDefault="00C72381" w:rsidP="00C72381">
      <w:r>
        <w:t>Court: Texas Court of Criminal Appeals</w:t>
      </w:r>
    </w:p>
    <w:p w14:paraId="73C862FA" w14:textId="77777777" w:rsidR="00C72381" w:rsidRDefault="00C72381" w:rsidP="00C72381">
      <w:r>
        <w:t>Opinion Date: November 23, 2022</w:t>
      </w:r>
    </w:p>
    <w:p w14:paraId="698A0CF9" w14:textId="77777777" w:rsidR="00C72381" w:rsidRDefault="00C72381" w:rsidP="00C72381"/>
    <w:p w14:paraId="209637C8" w14:textId="7E303969" w:rsidR="006A0520" w:rsidRDefault="00C72381" w:rsidP="00C72381">
      <w:r>
        <w:t xml:space="preserve">After a trial court denied his suppression motion, Appellant Tairon Jose Monjaras pled guilty to unlawful possession of a firearm by a felon. He was sentenced to five years imprisonment. On appeal, </w:t>
      </w:r>
      <w:r>
        <w:t xml:space="preserve">the </w:t>
      </w:r>
      <w:r>
        <w:t xml:space="preserve">Appellant argued the trial court erred in denying his motion to suppress because his interaction with law enforcement was an investigative detention without reasonable suspicion rather than a consensual encounter. A majority of the court of appeals disagreed, finding that the interaction was a consensual encounter. After its review, the Texas Court of Criminal Appeals held that </w:t>
      </w:r>
      <w:r>
        <w:t xml:space="preserve">the </w:t>
      </w:r>
      <w:r>
        <w:t>Appellant’s interaction with law enforcement, which started as a consensual encounter, escalated into an investigative detention</w:t>
      </w:r>
      <w:r>
        <w:t xml:space="preserve"> when one officer placed his hands on the defendant while the other officer said “manos, manos</w:t>
      </w:r>
      <w:r>
        <w:t>.</w:t>
      </w:r>
      <w:r>
        <w:t>”</w:t>
      </w:r>
      <w:r>
        <w:t xml:space="preserve"> The Court reversed the court of appeals and remanded the case to that court to determine whether the investigative detention was supported by reasonable suspicion.</w:t>
      </w:r>
      <w:r>
        <w:t xml:space="preserve">  (Pictures in text.)</w:t>
      </w:r>
    </w:p>
    <w:p w14:paraId="3C4AB335" w14:textId="18C9BD0A" w:rsidR="00C72381" w:rsidRDefault="00C72381" w:rsidP="00C72381"/>
    <w:p w14:paraId="0E65F8BC" w14:textId="7903FE70" w:rsidR="00C72381" w:rsidRDefault="00C72381" w:rsidP="00C72381"/>
    <w:p w14:paraId="29450D18" w14:textId="591415AD" w:rsidR="00C72381" w:rsidRDefault="00C72381" w:rsidP="00C72381"/>
    <w:p w14:paraId="19960A6C" w14:textId="77777777" w:rsidR="00470E2D" w:rsidRDefault="00470E2D" w:rsidP="00470E2D"/>
    <w:p w14:paraId="133C2AF1" w14:textId="77777777" w:rsidR="00470E2D" w:rsidRDefault="00470E2D" w:rsidP="00470E2D"/>
    <w:p w14:paraId="1A1996A9" w14:textId="77777777" w:rsidR="00470E2D" w:rsidRDefault="00470E2D" w:rsidP="00470E2D"/>
    <w:p w14:paraId="6A88DBBB" w14:textId="77777777" w:rsidR="00470E2D" w:rsidRDefault="00470E2D" w:rsidP="00470E2D"/>
    <w:p w14:paraId="219ECCCE" w14:textId="77777777" w:rsidR="00470E2D" w:rsidRDefault="00470E2D" w:rsidP="00470E2D"/>
    <w:p w14:paraId="4C44124C" w14:textId="77777777" w:rsidR="00470E2D" w:rsidRDefault="00470E2D" w:rsidP="00470E2D"/>
    <w:p w14:paraId="1D40523E" w14:textId="77777777" w:rsidR="00470E2D" w:rsidRDefault="00470E2D" w:rsidP="00470E2D"/>
    <w:p w14:paraId="00633C75" w14:textId="6A7ECB0B" w:rsidR="00470E2D" w:rsidRDefault="00470E2D" w:rsidP="00470E2D">
      <w:r>
        <w:lastRenderedPageBreak/>
        <w:t>State v. Moeser</w:t>
      </w:r>
    </w:p>
    <w:p w14:paraId="450F51E9" w14:textId="77777777" w:rsidR="00470E2D" w:rsidRDefault="00470E2D" w:rsidP="00470E2D">
      <w:r>
        <w:t>Court: Wisconsin Supreme Court</w:t>
      </w:r>
    </w:p>
    <w:p w14:paraId="6165F673" w14:textId="77777777" w:rsidR="00470E2D" w:rsidRDefault="00470E2D" w:rsidP="00470E2D">
      <w:r>
        <w:t>Opinion Date: November 23, 2022</w:t>
      </w:r>
    </w:p>
    <w:p w14:paraId="1FAC7DA9" w14:textId="77777777" w:rsidR="00470E2D" w:rsidRDefault="00470E2D" w:rsidP="00470E2D"/>
    <w:p w14:paraId="6DD60BBD" w14:textId="77777777" w:rsidR="00470E2D" w:rsidRDefault="00470E2D" w:rsidP="00470E2D">
      <w:r>
        <w:t>The Supreme Court affirmed Defendant's conviction of operating while intoxicated (OWI) sixth offense, in violation of Wis. Stat. 346.63(1)(a), holding that Defendant's constitutional right to be free from abusive governmental searches was satisfied in this case, and therefore, the circuit court did not err in denying Defendant's motion to suppress.</w:t>
      </w:r>
    </w:p>
    <w:p w14:paraId="478D475F" w14:textId="77777777" w:rsidR="00470E2D" w:rsidRDefault="00470E2D" w:rsidP="00470E2D"/>
    <w:p w14:paraId="72908462" w14:textId="479FE7EB" w:rsidR="00C72381" w:rsidRDefault="00470E2D" w:rsidP="00470E2D">
      <w:r>
        <w:t>On appeal, Defendant argued that the warrant compelling him to submit to a blood draw was constitutionally defective because, when the affiant signed the affidavit that accompanied the warrant petition, the affiant was not placed under oath or affirmation. The court of appeals affirmed. The Supreme Court affirmed, holding (1) the affidavit fulfilled the oath or affirmation requirement under the state and federal Constitutions; and (2) therefore the circuit court did not err in denying Defendant's motion to suppress.</w:t>
      </w:r>
    </w:p>
    <w:p w14:paraId="5C910294" w14:textId="421CCA4C" w:rsidR="00470E2D" w:rsidRDefault="00470E2D" w:rsidP="00470E2D"/>
    <w:p w14:paraId="658999FA" w14:textId="6AE4F9E3" w:rsidR="00470E2D" w:rsidRDefault="00470E2D" w:rsidP="00470E2D"/>
    <w:p w14:paraId="6D537325" w14:textId="3575520C" w:rsidR="00470E2D" w:rsidRDefault="00470E2D" w:rsidP="00470E2D"/>
    <w:p w14:paraId="71BA81F8" w14:textId="77777777" w:rsidR="00745B7C" w:rsidRDefault="00745B7C" w:rsidP="00745B7C">
      <w:r>
        <w:t>State v. Wilson</w:t>
      </w:r>
    </w:p>
    <w:p w14:paraId="289BD2FB" w14:textId="77777777" w:rsidR="00745B7C" w:rsidRDefault="00745B7C" w:rsidP="00745B7C">
      <w:r>
        <w:t>Court: Wisconsin Supreme Court</w:t>
      </w:r>
    </w:p>
    <w:p w14:paraId="63A99B13" w14:textId="77777777" w:rsidR="00745B7C" w:rsidRDefault="00745B7C" w:rsidP="00745B7C">
      <w:r>
        <w:t>Opinion Date: November 23, 2022</w:t>
      </w:r>
    </w:p>
    <w:p w14:paraId="7CAF1538" w14:textId="77777777" w:rsidR="00745B7C" w:rsidRDefault="00745B7C" w:rsidP="00745B7C"/>
    <w:p w14:paraId="4C466DB9" w14:textId="77777777" w:rsidR="00745B7C" w:rsidRDefault="00745B7C" w:rsidP="00745B7C">
      <w:r>
        <w:t>The Supreme Court reversed the decision of the court of appeals affirming both Defendant's judgment of conviction and the circuit court's denial of his motion to suppress evidence, holding that police officers' warrantless entry in Defendant's fenced-in back yard was not a valid "knock and talk" investigation and that the entry was not permissible under the exigency of hot pursuit.</w:t>
      </w:r>
    </w:p>
    <w:p w14:paraId="44EC3E7A" w14:textId="77777777" w:rsidR="00745B7C" w:rsidRDefault="00745B7C" w:rsidP="00745B7C"/>
    <w:p w14:paraId="70D956B8" w14:textId="3625BA38" w:rsidR="00470E2D" w:rsidRDefault="00745B7C" w:rsidP="00745B7C">
      <w:r>
        <w:t>On appeal, Defendant argued that the police officers lacked an implicit license to enter his backyard, and therefore, the entry violated the Fourth Amendment. The Supreme Court agreed and reversed the decision of the court of appeals, holding (1) the "knock and talk" investigation was not valid because the officers did not have an implicit license to enter Defendant's backyard; and (2) because the officers did not immediately or continuously pursue Defendant from the scene of the crime, the officers' entry into Defendant's backyard was not permissible under the exigency of hot pursuit and therefore violated the Fourth Amendment.</w:t>
      </w:r>
    </w:p>
    <w:sectPr w:rsidR="00470E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MwMTaytLA0MzE2NzRT0lEKTi0uzszPAykwrAUASwOLECwAAAA="/>
  </w:docVars>
  <w:rsids>
    <w:rsidRoot w:val="00D94CCA"/>
    <w:rsid w:val="00470E2D"/>
    <w:rsid w:val="006A0520"/>
    <w:rsid w:val="00745B7C"/>
    <w:rsid w:val="00A448BD"/>
    <w:rsid w:val="00C72381"/>
    <w:rsid w:val="00D94CCA"/>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0546B"/>
  <w15:chartTrackingRefBased/>
  <w15:docId w15:val="{B69E7147-E202-4852-A9BF-C3D515D08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1171</Words>
  <Characters>6676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2022-12-20T20:54:00Z</dcterms:created>
  <dcterms:modified xsi:type="dcterms:W3CDTF">2022-12-20T21:33:00Z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6672bfe3-f372-434a-a2af-36cef4ff45f5</vt:lpwstr>
  </property>
</Properties>
</file>