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E929C5" w14:textId="2F4BE7AC" w:rsidR="00EA0D60" w:rsidRDefault="00C44B55" w:rsidP="00C44B55">
      <w:pPr>
        <w:jc w:val="center"/>
        <w:rPr>
          <w:sz w:val="24"/>
          <w:szCs w:val="24"/>
        </w:rPr>
      </w:pPr>
      <w:r w:rsidRPr="00C44B55">
        <w:rPr>
          <w:sz w:val="24"/>
          <w:szCs w:val="24"/>
        </w:rPr>
        <w:t>10FEB2022 CASE SUMMARIES</w:t>
      </w:r>
    </w:p>
    <w:p w14:paraId="370A2DA0" w14:textId="77777777" w:rsidR="000052E9" w:rsidRPr="000052E9" w:rsidRDefault="000052E9" w:rsidP="000052E9">
      <w:pPr>
        <w:rPr>
          <w:sz w:val="24"/>
          <w:szCs w:val="24"/>
        </w:rPr>
      </w:pPr>
      <w:r w:rsidRPr="000052E9">
        <w:rPr>
          <w:sz w:val="24"/>
          <w:szCs w:val="24"/>
        </w:rPr>
        <w:t>United States v. Patterson</w:t>
      </w:r>
    </w:p>
    <w:p w14:paraId="3D70E203" w14:textId="77777777" w:rsidR="000052E9" w:rsidRPr="000052E9" w:rsidRDefault="000052E9" w:rsidP="000052E9">
      <w:pPr>
        <w:rPr>
          <w:sz w:val="24"/>
          <w:szCs w:val="24"/>
        </w:rPr>
      </w:pPr>
      <w:r w:rsidRPr="000052E9">
        <w:rPr>
          <w:sz w:val="24"/>
          <w:szCs w:val="24"/>
        </w:rPr>
        <w:t>Court: US Court of Appeals for the Second Circuit</w:t>
      </w:r>
    </w:p>
    <w:p w14:paraId="0017138B" w14:textId="77777777" w:rsidR="000052E9" w:rsidRPr="000052E9" w:rsidRDefault="000052E9" w:rsidP="000052E9">
      <w:pPr>
        <w:rPr>
          <w:sz w:val="24"/>
          <w:szCs w:val="24"/>
        </w:rPr>
      </w:pPr>
      <w:r w:rsidRPr="000052E9">
        <w:rPr>
          <w:sz w:val="24"/>
          <w:szCs w:val="24"/>
        </w:rPr>
        <w:t>Opinion Date: February 4, 2022</w:t>
      </w:r>
    </w:p>
    <w:p w14:paraId="7717BB7B" w14:textId="2D95E06D" w:rsidR="000052E9" w:rsidRPr="000052E9" w:rsidRDefault="00833A6D" w:rsidP="000052E9">
      <w:pPr>
        <w:rPr>
          <w:sz w:val="24"/>
          <w:szCs w:val="24"/>
        </w:rPr>
      </w:pPr>
      <w:r>
        <w:rPr>
          <w:sz w:val="24"/>
          <w:szCs w:val="24"/>
        </w:rPr>
        <w:t>Tags:</w:t>
      </w:r>
    </w:p>
    <w:p w14:paraId="0E037A3E" w14:textId="27A24421" w:rsidR="00C44B55" w:rsidRDefault="000052E9" w:rsidP="000052E9">
      <w:pPr>
        <w:rPr>
          <w:sz w:val="24"/>
          <w:szCs w:val="24"/>
        </w:rPr>
      </w:pPr>
      <w:r w:rsidRPr="000052E9">
        <w:rPr>
          <w:sz w:val="24"/>
          <w:szCs w:val="24"/>
        </w:rPr>
        <w:t>At a gas station, police detained the vehicle that Patterson was driving because it fit the description of a car whose occupants had reportedly menaced a woman with a firearm in a nearby supermarket parking lot. They discovered a gun. Patterson was charged as a felon in possession of a firearm, 18 U.S.C. 922(g)(1). The district court granted Patterson’s motion to suppress the firearm, stating that the degree of force used in detaining Patterson’s vehicle and its occupants—pointing firearms at, shouting orders toward, and blocking an exit route for the vehicle—exceeded that permissible for a reasonable investigatory stop and had to be viewed as a de facto arrest; the arrest was unlawful because, when first effected, it was not supported by probable cause; and the firearm seized from the car’s glove compartment after Patterson fled the scene had to be suppressed as a fruit of the unlawful arrest. The Second Circuit reversed. Patterson’s initial detention in the vehicle was not an arrest but an investigatory stop supported by the requisite reasonable suspicion. Pointing firearms at, shouting toward, and blocking an exit route for the vehicle driven by Patterson, were reasonable safety precautions given that the officers were investigating a report of menacing with a firearm.</w:t>
      </w:r>
    </w:p>
    <w:p w14:paraId="171C5C17" w14:textId="69CF6FBD" w:rsidR="000052E9" w:rsidRDefault="000052E9" w:rsidP="000052E9">
      <w:pPr>
        <w:rPr>
          <w:sz w:val="24"/>
          <w:szCs w:val="24"/>
        </w:rPr>
      </w:pPr>
    </w:p>
    <w:p w14:paraId="59BA0E84" w14:textId="77777777" w:rsidR="009851DC" w:rsidRPr="009851DC" w:rsidRDefault="009851DC" w:rsidP="009851DC">
      <w:pPr>
        <w:rPr>
          <w:sz w:val="24"/>
          <w:szCs w:val="24"/>
        </w:rPr>
      </w:pPr>
      <w:r w:rsidRPr="009851DC">
        <w:rPr>
          <w:sz w:val="24"/>
          <w:szCs w:val="24"/>
        </w:rPr>
        <w:t>Gambrel v. Knox County</w:t>
      </w:r>
    </w:p>
    <w:p w14:paraId="51CBCB0C" w14:textId="77777777" w:rsidR="009851DC" w:rsidRPr="009851DC" w:rsidRDefault="009851DC" w:rsidP="009851DC">
      <w:pPr>
        <w:rPr>
          <w:sz w:val="24"/>
          <w:szCs w:val="24"/>
        </w:rPr>
      </w:pPr>
    </w:p>
    <w:p w14:paraId="1239772F" w14:textId="77777777" w:rsidR="009851DC" w:rsidRPr="009851DC" w:rsidRDefault="009851DC" w:rsidP="009851DC">
      <w:pPr>
        <w:rPr>
          <w:sz w:val="24"/>
          <w:szCs w:val="24"/>
        </w:rPr>
      </w:pPr>
      <w:r w:rsidRPr="009851DC">
        <w:rPr>
          <w:sz w:val="24"/>
          <w:szCs w:val="24"/>
        </w:rPr>
        <w:t>Court: US Court of Appeals for the Sixth Circuit</w:t>
      </w:r>
    </w:p>
    <w:p w14:paraId="419E0829" w14:textId="77777777" w:rsidR="009851DC" w:rsidRPr="009851DC" w:rsidRDefault="009851DC" w:rsidP="009851DC">
      <w:pPr>
        <w:rPr>
          <w:sz w:val="24"/>
          <w:szCs w:val="24"/>
        </w:rPr>
      </w:pPr>
    </w:p>
    <w:p w14:paraId="66ABEEAD" w14:textId="77777777" w:rsidR="009851DC" w:rsidRPr="009851DC" w:rsidRDefault="009851DC" w:rsidP="009851DC">
      <w:pPr>
        <w:rPr>
          <w:sz w:val="24"/>
          <w:szCs w:val="24"/>
        </w:rPr>
      </w:pPr>
      <w:r w:rsidRPr="009851DC">
        <w:rPr>
          <w:sz w:val="24"/>
          <w:szCs w:val="24"/>
        </w:rPr>
        <w:t>Docket: 20-6027</w:t>
      </w:r>
    </w:p>
    <w:p w14:paraId="6CF03E42" w14:textId="77777777" w:rsidR="009851DC" w:rsidRPr="009851DC" w:rsidRDefault="009851DC" w:rsidP="009851DC">
      <w:pPr>
        <w:rPr>
          <w:sz w:val="24"/>
          <w:szCs w:val="24"/>
        </w:rPr>
      </w:pPr>
    </w:p>
    <w:p w14:paraId="57915AE4" w14:textId="77777777" w:rsidR="009851DC" w:rsidRPr="009851DC" w:rsidRDefault="009851DC" w:rsidP="009851DC">
      <w:pPr>
        <w:rPr>
          <w:sz w:val="24"/>
          <w:szCs w:val="24"/>
        </w:rPr>
      </w:pPr>
      <w:r w:rsidRPr="009851DC">
        <w:rPr>
          <w:sz w:val="24"/>
          <w:szCs w:val="24"/>
        </w:rPr>
        <w:t>Opinion Date: February 8, 2022</w:t>
      </w:r>
    </w:p>
    <w:p w14:paraId="7E58D2D6" w14:textId="77777777" w:rsidR="009851DC" w:rsidRPr="009851DC" w:rsidRDefault="009851DC" w:rsidP="009851DC">
      <w:pPr>
        <w:rPr>
          <w:sz w:val="24"/>
          <w:szCs w:val="24"/>
        </w:rPr>
      </w:pPr>
    </w:p>
    <w:p w14:paraId="309D5F2B" w14:textId="77777777" w:rsidR="009851DC" w:rsidRPr="009851DC" w:rsidRDefault="009851DC" w:rsidP="009851DC">
      <w:pPr>
        <w:rPr>
          <w:sz w:val="24"/>
          <w:szCs w:val="24"/>
        </w:rPr>
      </w:pPr>
      <w:r w:rsidRPr="009851DC">
        <w:rPr>
          <w:sz w:val="24"/>
          <w:szCs w:val="24"/>
        </w:rPr>
        <w:t>Judge: Murphy</w:t>
      </w:r>
    </w:p>
    <w:p w14:paraId="2058BF2D" w14:textId="77777777" w:rsidR="009851DC" w:rsidRPr="009851DC" w:rsidRDefault="009851DC" w:rsidP="009851DC">
      <w:pPr>
        <w:rPr>
          <w:sz w:val="24"/>
          <w:szCs w:val="24"/>
        </w:rPr>
      </w:pPr>
    </w:p>
    <w:p w14:paraId="07AAF0ED" w14:textId="77777777" w:rsidR="009851DC" w:rsidRPr="009851DC" w:rsidRDefault="009851DC" w:rsidP="009851DC">
      <w:pPr>
        <w:rPr>
          <w:sz w:val="24"/>
          <w:szCs w:val="24"/>
        </w:rPr>
      </w:pPr>
      <w:r w:rsidRPr="009851DC">
        <w:rPr>
          <w:sz w:val="24"/>
          <w:szCs w:val="24"/>
        </w:rPr>
        <w:t>Areas of Law: Civil Rights, Constitutional Law, Criminal Law</w:t>
      </w:r>
    </w:p>
    <w:p w14:paraId="43E963D4" w14:textId="77777777" w:rsidR="009851DC" w:rsidRPr="009851DC" w:rsidRDefault="009851DC" w:rsidP="009851DC">
      <w:pPr>
        <w:rPr>
          <w:sz w:val="24"/>
          <w:szCs w:val="24"/>
        </w:rPr>
      </w:pPr>
    </w:p>
    <w:p w14:paraId="55FEA410" w14:textId="157AB7C3" w:rsidR="00833A6D" w:rsidRDefault="009851DC" w:rsidP="009851DC">
      <w:pPr>
        <w:rPr>
          <w:sz w:val="24"/>
          <w:szCs w:val="24"/>
        </w:rPr>
      </w:pPr>
      <w:r w:rsidRPr="009851DC">
        <w:rPr>
          <w:sz w:val="24"/>
          <w:szCs w:val="24"/>
        </w:rPr>
        <w:t>Mills and his ex-wife struggled with drug addictions and neglected their four children. The children’s maternal grandparents obtained custody of the children. Around 10:00 p.m. on June 29, 2016, Mills showed up unannounced at their home, picked up his two-year-old daughter and carried her outside, then drove away with the child. The grandparents called the police. Mills ran out of gas, abandoned his vehicle, and walked up the road carrying his daughter. Officers arrived and ordered Mills to stop, but he ignored their commands. Mills fell and released the girl. Officers engaged in a five-minute struggle with Mills, using a taser, striking Mills with a flashlight, kneeing Mills in the face and head, and repeatedly hitting Mills with a baton. An officer eventually shot Mills twice, killing him. According to the officers and bystanders Mills had threatened to harm the officers, fought them with “super-human” strength, and charged at them. One bystander later claimed that the officers brutally beat Mills although Mills did not resist and that they could have easily handcuffed him. In a suit under 42 U.S.C. 1983, the Sixth Circuit reversed, in part, summary judgment in favor of the officers. The testimonial dispute instead raises a classic jury question. Even accepting the testimony, however, the officers are entitled to qualified immunity with respect to their initial use of force to recover the child, and the local government is entitled to summary judgment on the federal claim.</w:t>
      </w:r>
    </w:p>
    <w:p w14:paraId="1FE86F69" w14:textId="3306D222" w:rsidR="009851DC" w:rsidRDefault="009851DC" w:rsidP="009851DC">
      <w:pPr>
        <w:rPr>
          <w:sz w:val="24"/>
          <w:szCs w:val="24"/>
        </w:rPr>
      </w:pPr>
    </w:p>
    <w:p w14:paraId="5D2D6684" w14:textId="77777777" w:rsidR="00880808" w:rsidRPr="00880808" w:rsidRDefault="00880808" w:rsidP="00880808">
      <w:pPr>
        <w:rPr>
          <w:sz w:val="24"/>
          <w:szCs w:val="24"/>
        </w:rPr>
      </w:pPr>
      <w:r w:rsidRPr="00880808">
        <w:rPr>
          <w:sz w:val="24"/>
          <w:szCs w:val="24"/>
        </w:rPr>
        <w:t>Commonwealth v. Carrasquillo</w:t>
      </w:r>
    </w:p>
    <w:p w14:paraId="195C9CB1" w14:textId="77777777" w:rsidR="00880808" w:rsidRPr="00880808" w:rsidRDefault="00880808" w:rsidP="00880808">
      <w:pPr>
        <w:rPr>
          <w:sz w:val="24"/>
          <w:szCs w:val="24"/>
        </w:rPr>
      </w:pPr>
      <w:r w:rsidRPr="00880808">
        <w:rPr>
          <w:sz w:val="24"/>
          <w:szCs w:val="24"/>
        </w:rPr>
        <w:t>Court: Massachusetts Supreme Judicial Court</w:t>
      </w:r>
    </w:p>
    <w:p w14:paraId="0E745298" w14:textId="77777777" w:rsidR="00880808" w:rsidRPr="00880808" w:rsidRDefault="00880808" w:rsidP="00880808">
      <w:pPr>
        <w:rPr>
          <w:sz w:val="24"/>
          <w:szCs w:val="24"/>
        </w:rPr>
      </w:pPr>
      <w:r w:rsidRPr="00880808">
        <w:rPr>
          <w:sz w:val="24"/>
          <w:szCs w:val="24"/>
        </w:rPr>
        <w:t>Opinion Date: February 7, 2022</w:t>
      </w:r>
    </w:p>
    <w:p w14:paraId="18846B77" w14:textId="7B4E8E04" w:rsidR="00880808" w:rsidRPr="00880808" w:rsidRDefault="00880808" w:rsidP="00880808">
      <w:pPr>
        <w:rPr>
          <w:sz w:val="24"/>
          <w:szCs w:val="24"/>
        </w:rPr>
      </w:pPr>
      <w:r>
        <w:rPr>
          <w:sz w:val="24"/>
          <w:szCs w:val="24"/>
        </w:rPr>
        <w:t xml:space="preserve">Tags: </w:t>
      </w:r>
    </w:p>
    <w:p w14:paraId="27B824AA" w14:textId="2B1B6BC1" w:rsidR="009851DC" w:rsidRDefault="00880808" w:rsidP="00880808">
      <w:pPr>
        <w:rPr>
          <w:sz w:val="24"/>
          <w:szCs w:val="24"/>
        </w:rPr>
      </w:pPr>
      <w:r w:rsidRPr="00880808">
        <w:rPr>
          <w:sz w:val="24"/>
          <w:szCs w:val="24"/>
        </w:rPr>
        <w:t>The Supreme Judicial Court affirmed the superior court judge denying Defendant's motion to suppress a video recording Defendant published to his social media account that showed an individual seen from the chest down holding what appeared to be a firearm, holding that no search in the constitutional sense occurred. After accepting a friend request from an undercover police officer, Defendant published the video at issue to his social media account. The officer made a recording of the posting, and that recording was used in the criminal proceedings against Defendant. The trial judge concluded that no search had occurred and denied Defendant's motion to suppress. The Supreme Court affirmed, holding that Defendant did not retain a reasonable expectation of privacy in his social media stories</w:t>
      </w:r>
    </w:p>
    <w:p w14:paraId="0F8D207C" w14:textId="3423EA06" w:rsidR="000052E9" w:rsidRDefault="000052E9" w:rsidP="000052E9">
      <w:pPr>
        <w:rPr>
          <w:sz w:val="24"/>
          <w:szCs w:val="24"/>
        </w:rPr>
      </w:pPr>
    </w:p>
    <w:p w14:paraId="58E782E4" w14:textId="77777777" w:rsidR="005B27C8" w:rsidRDefault="005B27C8" w:rsidP="005B27C8">
      <w:pPr>
        <w:rPr>
          <w:sz w:val="24"/>
          <w:szCs w:val="24"/>
        </w:rPr>
      </w:pPr>
    </w:p>
    <w:p w14:paraId="302CAE48" w14:textId="77777777" w:rsidR="005B27C8" w:rsidRDefault="005B27C8" w:rsidP="005B27C8">
      <w:pPr>
        <w:rPr>
          <w:sz w:val="24"/>
          <w:szCs w:val="24"/>
        </w:rPr>
      </w:pPr>
    </w:p>
    <w:p w14:paraId="18D9AACC" w14:textId="449556B8" w:rsidR="005B27C8" w:rsidRPr="005B27C8" w:rsidRDefault="005B27C8" w:rsidP="005B27C8">
      <w:pPr>
        <w:rPr>
          <w:sz w:val="24"/>
          <w:szCs w:val="24"/>
        </w:rPr>
      </w:pPr>
      <w:r w:rsidRPr="005B27C8">
        <w:rPr>
          <w:sz w:val="24"/>
          <w:szCs w:val="24"/>
        </w:rPr>
        <w:lastRenderedPageBreak/>
        <w:t xml:space="preserve">State v. </w:t>
      </w:r>
      <w:proofErr w:type="spellStart"/>
      <w:r w:rsidRPr="005B27C8">
        <w:rPr>
          <w:sz w:val="24"/>
          <w:szCs w:val="24"/>
        </w:rPr>
        <w:t>Grassrope</w:t>
      </w:r>
      <w:proofErr w:type="spellEnd"/>
    </w:p>
    <w:p w14:paraId="71007CFB" w14:textId="77777777" w:rsidR="005B27C8" w:rsidRPr="005B27C8" w:rsidRDefault="005B27C8" w:rsidP="005B27C8">
      <w:pPr>
        <w:rPr>
          <w:sz w:val="24"/>
          <w:szCs w:val="24"/>
        </w:rPr>
      </w:pPr>
      <w:r w:rsidRPr="005B27C8">
        <w:rPr>
          <w:sz w:val="24"/>
          <w:szCs w:val="24"/>
        </w:rPr>
        <w:t>Court: South Dakota Supreme Court</w:t>
      </w:r>
    </w:p>
    <w:p w14:paraId="7E741A2C" w14:textId="77777777" w:rsidR="005B27C8" w:rsidRPr="005B27C8" w:rsidRDefault="005B27C8" w:rsidP="005B27C8">
      <w:pPr>
        <w:rPr>
          <w:sz w:val="24"/>
          <w:szCs w:val="24"/>
        </w:rPr>
      </w:pPr>
      <w:r w:rsidRPr="005B27C8">
        <w:rPr>
          <w:sz w:val="24"/>
          <w:szCs w:val="24"/>
        </w:rPr>
        <w:t>Opinion Date: February 9, 2022</w:t>
      </w:r>
    </w:p>
    <w:p w14:paraId="0146DE75" w14:textId="14F4C417" w:rsidR="005B27C8" w:rsidRPr="005B27C8" w:rsidRDefault="005B27C8" w:rsidP="005B27C8">
      <w:pPr>
        <w:rPr>
          <w:sz w:val="24"/>
          <w:szCs w:val="24"/>
        </w:rPr>
      </w:pPr>
      <w:r>
        <w:rPr>
          <w:sz w:val="24"/>
          <w:szCs w:val="24"/>
        </w:rPr>
        <w:t xml:space="preserve">Tags: </w:t>
      </w:r>
    </w:p>
    <w:p w14:paraId="60D5ABC3" w14:textId="0D136779" w:rsidR="000052E9" w:rsidRDefault="005B27C8" w:rsidP="005B27C8">
      <w:pPr>
        <w:rPr>
          <w:sz w:val="24"/>
          <w:szCs w:val="24"/>
        </w:rPr>
      </w:pPr>
      <w:r w:rsidRPr="005B27C8">
        <w:rPr>
          <w:sz w:val="24"/>
          <w:szCs w:val="24"/>
        </w:rPr>
        <w:t>The Supreme Court affirmed the magistrate court's decision granting Defendant's motion to suppress, holding that the magistrate court did not err in determining that the community caretaker exception to the Fourth Amendment did not apply. After Sioux Falls dispatch received a call from a six-year-old boy saying that "daddy was being mean to mom" and that his dad was leaving to go to his car an officer followed the dad (Defendant) in his automobile. The officer initiated a traffic stop and, after further investigation, placed Defendant under arrest for driving under the influence and driving with a suspended license. Defendant filed a motion to suppress, arguing that the officer stopped his car without probable cause or a reasonable and articulable suspicion. The magistrate court granted the motion to suppress. The Supreme Court affirmed, holding that the officer's actions were beyond the scope of a community caretaker, and therefore, Defendant's motion to suppress was properly granted.</w:t>
      </w:r>
    </w:p>
    <w:p w14:paraId="3C753A84" w14:textId="78529E36" w:rsidR="005B27C8" w:rsidRDefault="005B27C8" w:rsidP="005B27C8">
      <w:pPr>
        <w:rPr>
          <w:sz w:val="24"/>
          <w:szCs w:val="24"/>
        </w:rPr>
      </w:pPr>
    </w:p>
    <w:p w14:paraId="523997BE" w14:textId="77777777" w:rsidR="00122BB6" w:rsidRPr="00122BB6" w:rsidRDefault="00122BB6" w:rsidP="00122BB6">
      <w:pPr>
        <w:rPr>
          <w:sz w:val="24"/>
          <w:szCs w:val="24"/>
        </w:rPr>
      </w:pPr>
      <w:r w:rsidRPr="00122BB6">
        <w:rPr>
          <w:sz w:val="24"/>
          <w:szCs w:val="24"/>
        </w:rPr>
        <w:t>Wood v. Eubanks</w:t>
      </w:r>
    </w:p>
    <w:p w14:paraId="58CD006C" w14:textId="77777777" w:rsidR="00122BB6" w:rsidRPr="00122BB6" w:rsidRDefault="00122BB6" w:rsidP="00122BB6">
      <w:pPr>
        <w:rPr>
          <w:sz w:val="24"/>
          <w:szCs w:val="24"/>
        </w:rPr>
      </w:pPr>
      <w:r w:rsidRPr="00122BB6">
        <w:rPr>
          <w:sz w:val="24"/>
          <w:szCs w:val="24"/>
        </w:rPr>
        <w:t>Court: US Court of Appeals for the Sixth Circuit</w:t>
      </w:r>
    </w:p>
    <w:p w14:paraId="3A5AF66E" w14:textId="77777777" w:rsidR="00122BB6" w:rsidRPr="00122BB6" w:rsidRDefault="00122BB6" w:rsidP="00122BB6">
      <w:pPr>
        <w:rPr>
          <w:sz w:val="24"/>
          <w:szCs w:val="24"/>
        </w:rPr>
      </w:pPr>
      <w:r w:rsidRPr="00122BB6">
        <w:rPr>
          <w:sz w:val="24"/>
          <w:szCs w:val="24"/>
        </w:rPr>
        <w:t>Opinion Date: February 8, 2022</w:t>
      </w:r>
    </w:p>
    <w:p w14:paraId="10CAD3E4" w14:textId="7D2175E6" w:rsidR="00122BB6" w:rsidRPr="00122BB6" w:rsidRDefault="00122BB6" w:rsidP="00122BB6">
      <w:pPr>
        <w:rPr>
          <w:sz w:val="24"/>
          <w:szCs w:val="24"/>
        </w:rPr>
      </w:pPr>
      <w:r>
        <w:rPr>
          <w:sz w:val="24"/>
          <w:szCs w:val="24"/>
        </w:rPr>
        <w:t>Tags:</w:t>
      </w:r>
    </w:p>
    <w:p w14:paraId="4ABDDBE9" w14:textId="2EFFA3D0" w:rsidR="005B27C8" w:rsidRDefault="00122BB6" w:rsidP="00122BB6">
      <w:pPr>
        <w:rPr>
          <w:sz w:val="24"/>
          <w:szCs w:val="24"/>
        </w:rPr>
      </w:pPr>
      <w:r w:rsidRPr="00122BB6">
        <w:rPr>
          <w:sz w:val="24"/>
          <w:szCs w:val="24"/>
        </w:rPr>
        <w:t>Wood wore a shirt bearing the words “Fuck the Police” to the county fair. According to Wood, police officers ordered him to leave and escorted him from the fairgrounds because of his shirt. While leaving, Wood made several coarse insults directed to the police and the fairground’s administrator. The officers then arrested Wood for disorderly conduct. After the charges were dismissed, Wood filed a 42 U.S.C. 1983 action against the officers, alleging false arrest and retaliation. The district court granted the defendants summary judgment, citing qualified immunity on the false arrest claim and insufficient evidence of retaliation. The Sixth Circuit reversed. Wood’s speech was protected by the First Amendment. With respect to the retaliation claim, the court held that a reasonable jury could conclude the officers were motivated to surround Wood and require him to leave in part because of his shirt. While Wood’s speech was profane, the circumstances did not create a situation where violence was likely to result. Neither proximity nor Wood’s demeanor and volume provided probable cause for arrest. Because there was no probable cause to arrest Wood for disorderly conduct, and because Wood’s right to be free from arrest was clearly established, the officers are not entitled to qualified immunity.</w:t>
      </w:r>
    </w:p>
    <w:p w14:paraId="4C030120" w14:textId="77777777" w:rsidR="00F049F3" w:rsidRPr="00F049F3" w:rsidRDefault="00F049F3" w:rsidP="00F049F3">
      <w:pPr>
        <w:rPr>
          <w:sz w:val="24"/>
          <w:szCs w:val="24"/>
        </w:rPr>
      </w:pPr>
      <w:r w:rsidRPr="00F049F3">
        <w:rPr>
          <w:sz w:val="24"/>
          <w:szCs w:val="24"/>
        </w:rPr>
        <w:lastRenderedPageBreak/>
        <w:t>Powell v. Snook</w:t>
      </w:r>
    </w:p>
    <w:p w14:paraId="355D728C" w14:textId="77777777" w:rsidR="00F049F3" w:rsidRPr="00F049F3" w:rsidRDefault="00F049F3" w:rsidP="00F049F3">
      <w:pPr>
        <w:rPr>
          <w:sz w:val="24"/>
          <w:szCs w:val="24"/>
        </w:rPr>
      </w:pPr>
      <w:r w:rsidRPr="00F049F3">
        <w:rPr>
          <w:sz w:val="24"/>
          <w:szCs w:val="24"/>
        </w:rPr>
        <w:t>Court: US Court of Appeals for the Eleventh Circuit</w:t>
      </w:r>
    </w:p>
    <w:p w14:paraId="5689A3F0" w14:textId="77777777" w:rsidR="00F049F3" w:rsidRPr="00F049F3" w:rsidRDefault="00F049F3" w:rsidP="00F049F3">
      <w:pPr>
        <w:rPr>
          <w:sz w:val="24"/>
          <w:szCs w:val="24"/>
        </w:rPr>
      </w:pPr>
      <w:r w:rsidRPr="00F049F3">
        <w:rPr>
          <w:sz w:val="24"/>
          <w:szCs w:val="24"/>
        </w:rPr>
        <w:t>Opinion Date: February 8, 2022</w:t>
      </w:r>
    </w:p>
    <w:p w14:paraId="3C60CA08" w14:textId="3DE13731" w:rsidR="00F049F3" w:rsidRPr="00F049F3" w:rsidRDefault="00F049F3" w:rsidP="00F049F3">
      <w:pPr>
        <w:rPr>
          <w:sz w:val="24"/>
          <w:szCs w:val="24"/>
        </w:rPr>
      </w:pPr>
      <w:r>
        <w:rPr>
          <w:sz w:val="24"/>
          <w:szCs w:val="24"/>
        </w:rPr>
        <w:t>Tags:</w:t>
      </w:r>
    </w:p>
    <w:p w14:paraId="203C3729" w14:textId="040F2B4C" w:rsidR="00F049F3" w:rsidRDefault="00F049F3" w:rsidP="00F049F3">
      <w:pPr>
        <w:rPr>
          <w:sz w:val="24"/>
          <w:szCs w:val="24"/>
        </w:rPr>
      </w:pPr>
      <w:r w:rsidRPr="00F049F3">
        <w:rPr>
          <w:sz w:val="24"/>
          <w:szCs w:val="24"/>
        </w:rPr>
        <w:t>Defendant, a police sergeant who was at the wrong house because of imprecise dispatch directions, shot and killed William David Powell, who was innocent of any crime and standing in his driveway. Powell was holding a pistol because he and his wife thought they had heard a prowler. Powell's wife filed a 42 U.S.C. 1983 action against defendant in his individual capacity, alleging that he violated her husband's constitutional right to be free from excessive force. The Eleventh Circuit affirmed the district court's grant of defendant's motion for summary judgment based on qualified immunity, concluding that plaintiff has not identified case law with materially similar facts or with a broad statement of principle giving defendant fair notice that he had to warn Powell at the earliest possible moment and before using deadly force. Therefore, she has not met her burden of showing qualified immunity is not appropriate. The court stated that plaintiff has not shown that defendant's actions were unreasonable for qualified immunity purposes.</w:t>
      </w:r>
    </w:p>
    <w:p w14:paraId="54FCA394" w14:textId="7B1C3B9B" w:rsidR="00F049F3" w:rsidRDefault="00F049F3" w:rsidP="00F049F3">
      <w:pPr>
        <w:rPr>
          <w:sz w:val="24"/>
          <w:szCs w:val="24"/>
        </w:rPr>
      </w:pPr>
    </w:p>
    <w:p w14:paraId="73E955F0" w14:textId="77777777" w:rsidR="007300FD" w:rsidRPr="007300FD" w:rsidRDefault="007300FD" w:rsidP="007300FD">
      <w:pPr>
        <w:rPr>
          <w:sz w:val="24"/>
          <w:szCs w:val="24"/>
        </w:rPr>
      </w:pPr>
      <w:r w:rsidRPr="007300FD">
        <w:rPr>
          <w:sz w:val="24"/>
          <w:szCs w:val="24"/>
        </w:rPr>
        <w:t>Washington v. Howard</w:t>
      </w:r>
    </w:p>
    <w:p w14:paraId="6E1A6D63" w14:textId="77777777" w:rsidR="007300FD" w:rsidRPr="007300FD" w:rsidRDefault="007300FD" w:rsidP="007300FD">
      <w:pPr>
        <w:rPr>
          <w:sz w:val="24"/>
          <w:szCs w:val="24"/>
        </w:rPr>
      </w:pPr>
      <w:r w:rsidRPr="007300FD">
        <w:rPr>
          <w:sz w:val="24"/>
          <w:szCs w:val="24"/>
        </w:rPr>
        <w:t>Court: US Court of Appeals for the Eleventh Circuit</w:t>
      </w:r>
    </w:p>
    <w:p w14:paraId="02EDF12E" w14:textId="77777777" w:rsidR="007300FD" w:rsidRPr="007300FD" w:rsidRDefault="007300FD" w:rsidP="007300FD">
      <w:pPr>
        <w:rPr>
          <w:sz w:val="24"/>
          <w:szCs w:val="24"/>
        </w:rPr>
      </w:pPr>
      <w:r w:rsidRPr="007300FD">
        <w:rPr>
          <w:sz w:val="24"/>
          <w:szCs w:val="24"/>
        </w:rPr>
        <w:t>Opinion Date: February 7, 2022</w:t>
      </w:r>
    </w:p>
    <w:p w14:paraId="601768BD" w14:textId="1F69BFE3" w:rsidR="007300FD" w:rsidRPr="007300FD" w:rsidRDefault="007300FD" w:rsidP="007300FD">
      <w:pPr>
        <w:rPr>
          <w:sz w:val="24"/>
          <w:szCs w:val="24"/>
        </w:rPr>
      </w:pPr>
      <w:r>
        <w:rPr>
          <w:sz w:val="24"/>
          <w:szCs w:val="24"/>
        </w:rPr>
        <w:t xml:space="preserve">Tags: </w:t>
      </w:r>
    </w:p>
    <w:p w14:paraId="05279728" w14:textId="7D1A0847" w:rsidR="00F049F3" w:rsidRDefault="007300FD" w:rsidP="007300FD">
      <w:pPr>
        <w:rPr>
          <w:sz w:val="24"/>
          <w:szCs w:val="24"/>
        </w:rPr>
      </w:pPr>
      <w:r w:rsidRPr="007300FD">
        <w:rPr>
          <w:sz w:val="24"/>
          <w:szCs w:val="24"/>
        </w:rPr>
        <w:t>The Eleventh Circuit affirmed the district court's grant of summary judgment in favor of defendant based on qualified immunity in a 42 U.S.C. 1983 action. Plaintiff alleged that defendant violated her right to be free from unreasonable seizures under the Fourth and Fourteenth Amendments because there was no longer probable cause to support her detention when the perpetrator said, "[T]hat's not her." The court concluded that plaintiff cannot prove that defendant violated her constitutional rights for three reasons: first, plaintiff's continued detention was supported by probable cause; second, defendant was entitled to rely on a facially valid and lawfully obtained warrant; and third, defendant did not take an affirmative action to continue the prosecution.</w:t>
      </w:r>
    </w:p>
    <w:p w14:paraId="0A501067" w14:textId="3C91F36B" w:rsidR="00F049F3" w:rsidRDefault="00F049F3" w:rsidP="00122BB6">
      <w:pPr>
        <w:rPr>
          <w:sz w:val="24"/>
          <w:szCs w:val="24"/>
        </w:rPr>
      </w:pPr>
    </w:p>
    <w:p w14:paraId="46342BF5" w14:textId="77777777" w:rsidR="00F049F3" w:rsidRPr="00C44B55" w:rsidRDefault="00F049F3" w:rsidP="00122BB6">
      <w:pPr>
        <w:rPr>
          <w:sz w:val="24"/>
          <w:szCs w:val="24"/>
        </w:rPr>
      </w:pPr>
    </w:p>
    <w:sectPr w:rsidR="00F049F3" w:rsidRPr="00C44B5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4B55"/>
    <w:rsid w:val="000052E9"/>
    <w:rsid w:val="00122BB6"/>
    <w:rsid w:val="00132340"/>
    <w:rsid w:val="0019718F"/>
    <w:rsid w:val="00524838"/>
    <w:rsid w:val="005B27C8"/>
    <w:rsid w:val="007300FD"/>
    <w:rsid w:val="00833A6D"/>
    <w:rsid w:val="00880808"/>
    <w:rsid w:val="00927A8C"/>
    <w:rsid w:val="009851DC"/>
    <w:rsid w:val="00A9602B"/>
    <w:rsid w:val="00C44B55"/>
    <w:rsid w:val="00F049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DFB0B9"/>
  <w15:chartTrackingRefBased/>
  <w15:docId w15:val="{97CDF738-D9A5-463A-971C-BAEF12341A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4</Pages>
  <Words>1281</Words>
  <Characters>7305</Characters>
  <Application>Microsoft Office Word</Application>
  <DocSecurity>0</DocSecurity>
  <Lines>60</Lines>
  <Paragraphs>17</Paragraphs>
  <ScaleCrop>false</ScaleCrop>
  <Company/>
  <LinksUpToDate>false</LinksUpToDate>
  <CharactersWithSpaces>8569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Bruce-Alan Barnard</dc:creator>
  <cp:keywords/>
  <dc:description/>
  <cp:lastModifiedBy>Bruce-Alan Barnard</cp:lastModifiedBy>
  <cp:revision>11</cp:revision>
  <dcterms:created xsi:type="dcterms:W3CDTF">2022-02-10T12:30:00Z</dcterms:created>
  <dcterms:modified xsi:type="dcterms:W3CDTF">2022-02-11T15:29:00Z</dcterms:modified>
</cp:coreProperties>
</file>