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E16E" w14:textId="3712F79A" w:rsidR="00EA0D60" w:rsidRDefault="00DE1ADD" w:rsidP="00BD0F58">
      <w:pPr>
        <w:spacing w:after="0" w:line="240" w:lineRule="auto"/>
        <w:jc w:val="center"/>
      </w:pPr>
      <w:r>
        <w:t>18FEB2022 Cases</w:t>
      </w:r>
    </w:p>
    <w:p w14:paraId="6F90B459" w14:textId="77777777" w:rsidR="00811418" w:rsidRDefault="00811418" w:rsidP="00BD0F58">
      <w:pPr>
        <w:spacing w:after="0" w:line="240" w:lineRule="auto"/>
      </w:pPr>
      <w:r>
        <w:t>United States v. Pimentel</w:t>
      </w:r>
    </w:p>
    <w:p w14:paraId="149EFB0A" w14:textId="77777777" w:rsidR="00811418" w:rsidRDefault="00811418" w:rsidP="00BD0F58">
      <w:pPr>
        <w:spacing w:after="0" w:line="240" w:lineRule="auto"/>
      </w:pPr>
      <w:r>
        <w:t>Court: US Court of Appeals for the First Circuit</w:t>
      </w:r>
    </w:p>
    <w:p w14:paraId="787BBC6E" w14:textId="77777777" w:rsidR="00811418" w:rsidRDefault="00811418" w:rsidP="00BD0F58">
      <w:pPr>
        <w:spacing w:after="0" w:line="240" w:lineRule="auto"/>
      </w:pPr>
      <w:r>
        <w:t>Opinion Date: February 17, 2022</w:t>
      </w:r>
    </w:p>
    <w:p w14:paraId="42D23F8D" w14:textId="77777777" w:rsidR="00BD0F58" w:rsidRDefault="00BD0F58" w:rsidP="00BD0F58">
      <w:pPr>
        <w:spacing w:after="0" w:line="240" w:lineRule="auto"/>
      </w:pPr>
    </w:p>
    <w:p w14:paraId="5016A219" w14:textId="0E8DACDF" w:rsidR="00811418" w:rsidRDefault="00BD0F58" w:rsidP="00BD0F58">
      <w:pPr>
        <w:spacing w:after="0" w:line="240" w:lineRule="auto"/>
      </w:pPr>
      <w:r>
        <w:t xml:space="preserve">Tags: </w:t>
      </w:r>
      <w:r w:rsidR="00284D36">
        <w:t>Search Warrant Execution, Scope of Search</w:t>
      </w:r>
    </w:p>
    <w:p w14:paraId="0F558C2D" w14:textId="77777777" w:rsidR="00811418" w:rsidRDefault="00811418" w:rsidP="00BD0F58">
      <w:pPr>
        <w:spacing w:after="0" w:line="240" w:lineRule="auto"/>
      </w:pPr>
    </w:p>
    <w:p w14:paraId="0B53BB46" w14:textId="159A6526" w:rsidR="00DE1ADD" w:rsidRDefault="00811418" w:rsidP="00BD0F58">
      <w:pPr>
        <w:spacing w:after="0" w:line="240" w:lineRule="auto"/>
      </w:pPr>
      <w:r>
        <w:t>The First Circuit affirmed Defendant's conviction for being a felon in possession of a firearm, holding that the district court did not err in denying Defendant's motion to suppress. Upon executing a no-knock search warrant following reports of discharged shots the police found two shotguns and related paraphernalia in Defendant's bedroom. In his motion to suppress, Defendant argued that the police exceeded the scope of the warrant by searching his bedroom, which was located on the third floor of the building, because the searched warrant was for "88 Foundation St. 2nd floor." The district court denied the motion, concluding that the good-faith exception to the exclusionary rule applied. The First Circuit affirmed, holding that the officers reasonably believed that the warrant permitted the search of Defendant's third-floor bedroom.</w:t>
      </w:r>
    </w:p>
    <w:p w14:paraId="5F272125" w14:textId="7B2F6713" w:rsidR="008E17E3" w:rsidRDefault="008E17E3" w:rsidP="00BD0F58">
      <w:pPr>
        <w:spacing w:after="0" w:line="240" w:lineRule="auto"/>
      </w:pPr>
    </w:p>
    <w:p w14:paraId="64922D8D" w14:textId="77777777" w:rsidR="008E17E3" w:rsidRDefault="008E17E3" w:rsidP="00BD0F58">
      <w:pPr>
        <w:spacing w:after="0" w:line="240" w:lineRule="auto"/>
      </w:pPr>
    </w:p>
    <w:p w14:paraId="0F2E3041" w14:textId="77777777" w:rsidR="0050697F" w:rsidRDefault="0050697F" w:rsidP="0050697F">
      <w:pPr>
        <w:spacing w:after="0" w:line="240" w:lineRule="auto"/>
      </w:pPr>
      <w:r>
        <w:t>United States v. Russell</w:t>
      </w:r>
    </w:p>
    <w:p w14:paraId="1A74CF41" w14:textId="77777777" w:rsidR="0050697F" w:rsidRDefault="0050697F" w:rsidP="0050697F">
      <w:pPr>
        <w:spacing w:after="0" w:line="240" w:lineRule="auto"/>
      </w:pPr>
      <w:r>
        <w:t>Court: US Court of Appeals for the Sixth Circuit</w:t>
      </w:r>
    </w:p>
    <w:p w14:paraId="77637B96" w14:textId="77777777" w:rsidR="0050697F" w:rsidRDefault="0050697F" w:rsidP="0050697F">
      <w:pPr>
        <w:spacing w:after="0" w:line="240" w:lineRule="auto"/>
      </w:pPr>
      <w:r>
        <w:t>Opinion Date: February 16, 2022</w:t>
      </w:r>
    </w:p>
    <w:p w14:paraId="3E892280" w14:textId="77777777" w:rsidR="0050697F" w:rsidRDefault="0050697F" w:rsidP="0050697F">
      <w:pPr>
        <w:spacing w:after="0" w:line="240" w:lineRule="auto"/>
      </w:pPr>
    </w:p>
    <w:p w14:paraId="1ECC7281" w14:textId="583349DC" w:rsidR="0050697F" w:rsidRDefault="0050697F" w:rsidP="0050697F">
      <w:pPr>
        <w:spacing w:after="0" w:line="240" w:lineRule="auto"/>
      </w:pPr>
      <w:r>
        <w:t xml:space="preserve">Tags: </w:t>
      </w:r>
      <w:r w:rsidR="00DA0551">
        <w:t>Vehicle Passenger, Lack of Standing</w:t>
      </w:r>
    </w:p>
    <w:p w14:paraId="245183E0" w14:textId="77777777" w:rsidR="0050697F" w:rsidRDefault="0050697F" w:rsidP="0050697F">
      <w:pPr>
        <w:spacing w:after="0" w:line="240" w:lineRule="auto"/>
      </w:pPr>
    </w:p>
    <w:p w14:paraId="08CDA175" w14:textId="42A55E2E" w:rsidR="00BD0F58" w:rsidRDefault="0050697F" w:rsidP="0050697F">
      <w:pPr>
        <w:spacing w:after="0" w:line="240" w:lineRule="auto"/>
      </w:pPr>
      <w:r>
        <w:t xml:space="preserve">Russell was a passenger in a car that the East Cleveland Police stopped and searched. They found two handguns, which resulted in a felon-in-possession charge for Russell. After the denial of his motion to suppress, Russell entered a conditional guilty plea. The Sixth Circuit affirmed his conviction. To assert a Fourth Amendment claim, Russell must have “standing” to challenge the search; normally a car passenger without a possessory interest in the car lacks such standing. The government failed to object to Russell’s lack of standing before the district court and raised the argument for the first time on appeal. Fourth Amendment standing, unlike Article III standing, is not jurisdictional and can be forfeited or waived. The government’s failure to raise the argument below was a forfeiture, not a waiver because the government took no steps to “expressly abandon” its objection. Under Sixth Circuit precedent, the government can raise a forfeited argument for the first time on appeal and prevail if it satisfies the plain-error inquiry under </w:t>
      </w:r>
      <w:proofErr w:type="spellStart"/>
      <w:r>
        <w:t>Fed.R.Crim.P</w:t>
      </w:r>
      <w:proofErr w:type="spellEnd"/>
      <w:r>
        <w:t>. 52(b). The government satisfied that test. Even if the government did not object, Russell had at least some burden to establish standing. Allowing Russell to benefit from the exclusionary remedy would lead to a rightfully diminished view of the judicial proceeding.</w:t>
      </w:r>
    </w:p>
    <w:p w14:paraId="5D1ADBB5" w14:textId="6A6B9627" w:rsidR="00DA0551" w:rsidRDefault="00DA0551" w:rsidP="0050697F">
      <w:pPr>
        <w:spacing w:after="0" w:line="240" w:lineRule="auto"/>
      </w:pPr>
    </w:p>
    <w:p w14:paraId="3C6C497C" w14:textId="214BE26E" w:rsidR="00DA0551" w:rsidRDefault="00DA0551" w:rsidP="0050697F">
      <w:pPr>
        <w:spacing w:after="0" w:line="240" w:lineRule="auto"/>
      </w:pPr>
    </w:p>
    <w:p w14:paraId="16DFCCFA" w14:textId="77777777" w:rsidR="00F279FD" w:rsidRDefault="00F279FD" w:rsidP="00F279FD">
      <w:pPr>
        <w:spacing w:after="0" w:line="240" w:lineRule="auto"/>
      </w:pPr>
      <w:r>
        <w:t>Taylor v. Hughes</w:t>
      </w:r>
    </w:p>
    <w:p w14:paraId="52453EC1" w14:textId="77777777" w:rsidR="00F279FD" w:rsidRDefault="00F279FD" w:rsidP="00F279FD">
      <w:pPr>
        <w:spacing w:after="0" w:line="240" w:lineRule="auto"/>
      </w:pPr>
      <w:r>
        <w:t>Court: US Court of Appeals for the Seventh Circuit</w:t>
      </w:r>
    </w:p>
    <w:p w14:paraId="611AFF16" w14:textId="77777777" w:rsidR="00F279FD" w:rsidRDefault="00F279FD" w:rsidP="00F279FD">
      <w:pPr>
        <w:spacing w:after="0" w:line="240" w:lineRule="auto"/>
      </w:pPr>
      <w:r>
        <w:t>Opinion Date: February 16, 2022</w:t>
      </w:r>
    </w:p>
    <w:p w14:paraId="63B8EB12" w14:textId="77777777" w:rsidR="00F279FD" w:rsidRDefault="00F279FD" w:rsidP="00F279FD">
      <w:pPr>
        <w:spacing w:after="0" w:line="240" w:lineRule="auto"/>
      </w:pPr>
    </w:p>
    <w:p w14:paraId="353E6F39" w14:textId="35686F27" w:rsidR="00F279FD" w:rsidRDefault="00F279FD" w:rsidP="00F279FD">
      <w:pPr>
        <w:spacing w:after="0" w:line="240" w:lineRule="auto"/>
      </w:pPr>
      <w:r>
        <w:t xml:space="preserve">Tags: </w:t>
      </w:r>
      <w:r w:rsidR="003E6405">
        <w:t>No qualified immunity for unreasonable premises search</w:t>
      </w:r>
      <w:r w:rsidR="00AF41CF">
        <w:t xml:space="preserve"> on defective warrant.</w:t>
      </w:r>
    </w:p>
    <w:p w14:paraId="09CDCF5D" w14:textId="77777777" w:rsidR="00F279FD" w:rsidRDefault="00F279FD" w:rsidP="00F279FD">
      <w:pPr>
        <w:spacing w:after="0" w:line="240" w:lineRule="auto"/>
      </w:pPr>
    </w:p>
    <w:p w14:paraId="773A5B44" w14:textId="3DFD43AD" w:rsidR="00DA0551" w:rsidRDefault="00F279FD" w:rsidP="00822CD4">
      <w:pPr>
        <w:spacing w:after="0" w:line="240" w:lineRule="auto"/>
      </w:pPr>
      <w:r>
        <w:t xml:space="preserve">A John Doe informant stated that Taylor had showed the informant a gun inside Taylor’s apartment. Taylor was a felon. Chicago police officer Hughes secured a warrant to search Taylor’s apartment. On the record, no one knows Doe’s real name, contact information, or why he came forward Doe knew how </w:t>
      </w:r>
      <w:r>
        <w:lastRenderedPageBreak/>
        <w:t xml:space="preserve">to get to Taylor’s apartment, but not his address. Hughes made an incorrect guess. Officers entered Taylor’s apartment, which was not the apartment listed on the warrant. Officers found mail addressed in his name from which they learned the correct address. They found a different gun than was described by Doe. Officers found no evidence directly connecting Taylor to the bedroom in which the gun was found. Hughes initiated an alert for Taylor’s arrest. Taylor turned himself in and spent four months in jail before a court found the warrant invalid based on the address error and quashed his arrest. Despite Taylor’s acquittal, the arrest alert remained active. A month later, Taylor was again arrested. Taylor filed suit, 42 U.S.C. 1983. The district court granted the defendant summary judgment. The Seventh Circuit affirmed as to officers who were not involved in procuring the warrant and affirmed summary judgment for the city on Taylor’s </w:t>
      </w:r>
      <w:proofErr w:type="spellStart"/>
      <w:r>
        <w:t>Monell</w:t>
      </w:r>
      <w:proofErr w:type="spellEnd"/>
      <w:r>
        <w:t xml:space="preserve"> claims relating to the investigative alerts policy and policy with respect to John Doe informants. The court reversed the grant of summary judgment for Hughes and remanded for a determination of damages. Hughes is entitled to good-faith immunity only if he could have “reasonably believed" that the search was authorized by a valid warrant. Hughes told the judge that he knew Taylor’s address; he did not. Hughes stated that there was probable cause to believe drugs would be found in the apartment; there was not.</w:t>
      </w:r>
    </w:p>
    <w:p w14:paraId="381A10E0" w14:textId="5B0630B9" w:rsidR="005C5E5F" w:rsidRDefault="005C5E5F" w:rsidP="00822CD4">
      <w:pPr>
        <w:spacing w:after="0" w:line="240" w:lineRule="auto"/>
      </w:pPr>
    </w:p>
    <w:p w14:paraId="178810C3" w14:textId="59F7BD5D" w:rsidR="005C5E5F" w:rsidRDefault="005C5E5F" w:rsidP="00822CD4">
      <w:pPr>
        <w:spacing w:after="0" w:line="240" w:lineRule="auto"/>
      </w:pPr>
    </w:p>
    <w:p w14:paraId="00C5AC0E" w14:textId="77777777" w:rsidR="00822CD4" w:rsidRDefault="00822CD4" w:rsidP="00822CD4">
      <w:pPr>
        <w:spacing w:after="0" w:line="240" w:lineRule="auto"/>
      </w:pPr>
      <w:r>
        <w:t>Craig v. Martin</w:t>
      </w:r>
    </w:p>
    <w:p w14:paraId="02537E78" w14:textId="77777777" w:rsidR="00822CD4" w:rsidRDefault="00822CD4" w:rsidP="00822CD4">
      <w:pPr>
        <w:spacing w:after="0" w:line="240" w:lineRule="auto"/>
      </w:pPr>
      <w:r>
        <w:t>Court: US Court of Appeals for the Fifth Circuit</w:t>
      </w:r>
    </w:p>
    <w:p w14:paraId="5934A67C" w14:textId="77777777" w:rsidR="00822CD4" w:rsidRDefault="00822CD4" w:rsidP="00822CD4">
      <w:pPr>
        <w:spacing w:after="0" w:line="240" w:lineRule="auto"/>
      </w:pPr>
      <w:r>
        <w:t>Opinion Date: February 15, 2022</w:t>
      </w:r>
    </w:p>
    <w:p w14:paraId="53E3C49A" w14:textId="77777777" w:rsidR="00822CD4" w:rsidRDefault="00822CD4" w:rsidP="00822CD4">
      <w:pPr>
        <w:spacing w:after="0" w:line="240" w:lineRule="auto"/>
      </w:pPr>
    </w:p>
    <w:p w14:paraId="3ED78007" w14:textId="3DE9C16A" w:rsidR="00822CD4" w:rsidRDefault="00822CD4" w:rsidP="00822CD4">
      <w:pPr>
        <w:spacing w:after="0" w:line="240" w:lineRule="auto"/>
      </w:pPr>
      <w:r>
        <w:t xml:space="preserve">Tags: </w:t>
      </w:r>
      <w:r w:rsidR="00190B9C">
        <w:t>Use of Force</w:t>
      </w:r>
      <w:r w:rsidR="00D130A7">
        <w:t>, Basic Force, Body Camera Video, Qualified Immunity</w:t>
      </w:r>
    </w:p>
    <w:p w14:paraId="26DF0B05" w14:textId="77777777" w:rsidR="00822CD4" w:rsidRDefault="00822CD4" w:rsidP="00822CD4">
      <w:pPr>
        <w:spacing w:after="0" w:line="240" w:lineRule="auto"/>
      </w:pPr>
    </w:p>
    <w:p w14:paraId="652AB784" w14:textId="77777777" w:rsidR="00D130A7" w:rsidRDefault="00822CD4" w:rsidP="00822CD4">
      <w:pPr>
        <w:spacing w:after="0" w:line="240" w:lineRule="auto"/>
      </w:pPr>
      <w:r>
        <w:t>Officer Martin responded to a call about neighbors throwing trash in the caller’s yard. A subsequent 911 call came from the man’s neighbor, Craig, complaining that the man had grabbed her son by the neck because the boy had allegedly littered. Martin activated his body camera at the scene. Martin got into a verbal altercation with Craig; Craig’s 14-year-old, 15-year-old, and adult daughters became involved. Martin used physical force to get them into his squad car. Craig and her children sued Martin for unlawful arrest and excessive force. Craig also sued Martin on behalf of her another minor child, alleging injuries suffered as a bystander. The district court dismissed A.C.’s claim as incognizable; it dismissed the remaining claims for unlawful arrest, holding Martin was entitled to qualified immunity. The court denied Martin qualified immunity on the excessive force claims, concluding that the video evidence submitted by Martin was “too uncertain.” The Fifth Circuit reversed the denial of qualified immunity on the excessive force claims, expressing no opinion on the dismissal of the other claims. Martin’s actions were sufficiently measured in relation to the plaintiffs’ resistance. Martin’s conduct was not objectively unreasonable and did not violate any of their Fourth Amendment rights. Plaintiffs failed to provide any controlling precedent showing that Martin’s particular conduct violated a clearly established right.</w:t>
      </w:r>
    </w:p>
    <w:p w14:paraId="4E9EC8C5" w14:textId="77777777" w:rsidR="00D130A7" w:rsidRDefault="00D130A7" w:rsidP="00822CD4">
      <w:pPr>
        <w:spacing w:after="0" w:line="240" w:lineRule="auto"/>
      </w:pPr>
    </w:p>
    <w:p w14:paraId="6C04470A" w14:textId="77777777" w:rsidR="00504E9D" w:rsidRDefault="00504E9D" w:rsidP="00504E9D">
      <w:pPr>
        <w:spacing w:after="0" w:line="240" w:lineRule="auto"/>
      </w:pPr>
    </w:p>
    <w:p w14:paraId="29D4723A" w14:textId="4811C01F" w:rsidR="00504E9D" w:rsidRDefault="00504E9D" w:rsidP="00504E9D">
      <w:pPr>
        <w:spacing w:after="0" w:line="240" w:lineRule="auto"/>
      </w:pPr>
      <w:r>
        <w:t>Wade v. Ramos</w:t>
      </w:r>
    </w:p>
    <w:p w14:paraId="5DD055DB" w14:textId="77777777" w:rsidR="00504E9D" w:rsidRDefault="00504E9D" w:rsidP="00504E9D">
      <w:pPr>
        <w:spacing w:after="0" w:line="240" w:lineRule="auto"/>
      </w:pPr>
      <w:r>
        <w:t>Court: US Court of Appeals for the Seventh Circuit</w:t>
      </w:r>
    </w:p>
    <w:p w14:paraId="2CAD9972" w14:textId="77777777" w:rsidR="00504E9D" w:rsidRDefault="00504E9D" w:rsidP="00504E9D">
      <w:pPr>
        <w:spacing w:after="0" w:line="240" w:lineRule="auto"/>
      </w:pPr>
      <w:r>
        <w:t>Opinion Date: February 17, 2022</w:t>
      </w:r>
    </w:p>
    <w:p w14:paraId="1AE4830F" w14:textId="77777777" w:rsidR="00504E9D" w:rsidRDefault="00504E9D" w:rsidP="00504E9D">
      <w:pPr>
        <w:spacing w:after="0" w:line="240" w:lineRule="auto"/>
      </w:pPr>
    </w:p>
    <w:p w14:paraId="5CACF8DC" w14:textId="2C9F2AC2" w:rsidR="00504E9D" w:rsidRDefault="00504E9D" w:rsidP="00504E9D">
      <w:pPr>
        <w:spacing w:after="0" w:line="240" w:lineRule="auto"/>
      </w:pPr>
      <w:r>
        <w:t xml:space="preserve">Tags: </w:t>
      </w:r>
    </w:p>
    <w:p w14:paraId="71381211" w14:textId="77777777" w:rsidR="00504E9D" w:rsidRDefault="00504E9D" w:rsidP="00504E9D">
      <w:pPr>
        <w:spacing w:after="0" w:line="240" w:lineRule="auto"/>
      </w:pPr>
    </w:p>
    <w:p w14:paraId="7285F493" w14:textId="61241A77" w:rsidR="00D130A7" w:rsidRDefault="00504E9D" w:rsidP="00504E9D">
      <w:pPr>
        <w:spacing w:after="0" w:line="240" w:lineRule="auto"/>
      </w:pPr>
      <w:r>
        <w:t xml:space="preserve">The Wades live in a second-floor apartment; the first-floor unit is a short flight of stairs up from ground level. Chicago Police officers were seeking Johnson, a purported heroin dealer. A confidential informant had identified the “second floor” of the Wades’ building as Johnson’s place of operations. Johnson </w:t>
      </w:r>
      <w:proofErr w:type="gramStart"/>
      <w:r>
        <w:lastRenderedPageBreak/>
        <w:t>actually lived</w:t>
      </w:r>
      <w:proofErr w:type="gramEnd"/>
      <w:r>
        <w:t xml:space="preserve"> on the first floor. No officer confirmed Johnson’s address, surveilled the building, or checked whether anybody else was living in the second-floor unit. Officers obtained a warrant for that unit, ascended both staircases, and kicked in the door. Wade was out. A family friend, Dotson, was at the apartment. Dotson’s account differs from police accounts. Dotson alleges that an officer planted narcotics on his person The officers say that upon entering the apartment they found Dotson and Nero inside. Both fled. Officers caught them on the back porch. Video evidence of the events was lost. A thorough search of the Wades’ apartment turned up no drugs. Large quantities of narcotics were discovered in the downstairs unit. The district court rejected the Wades' suit on summary judgment. Dotson’s claims were settled. The Seventh Circuit affirmed. The Wades have not identified evidence that would allow a reasonable </w:t>
      </w:r>
      <w:proofErr w:type="gramStart"/>
      <w:r>
        <w:t>fact-finder</w:t>
      </w:r>
      <w:proofErr w:type="gramEnd"/>
      <w:r>
        <w:t xml:space="preserve"> to decide in their favor, Given the facially valid warrant and the lack of immediately self-evident ambiguity, the officers were entitled to enter the Wades’ apartment to search.</w:t>
      </w:r>
    </w:p>
    <w:p w14:paraId="41183B4B" w14:textId="59A793F2" w:rsidR="00D95FDD" w:rsidRDefault="00D95FDD" w:rsidP="00504E9D">
      <w:pPr>
        <w:spacing w:after="0" w:line="240" w:lineRule="auto"/>
      </w:pPr>
    </w:p>
    <w:p w14:paraId="0CE393BE" w14:textId="11A797EC" w:rsidR="00D95FDD" w:rsidRDefault="00D95FDD" w:rsidP="00504E9D">
      <w:pPr>
        <w:spacing w:after="0" w:line="240" w:lineRule="auto"/>
      </w:pPr>
    </w:p>
    <w:p w14:paraId="657BFF8A" w14:textId="610743EC" w:rsidR="00D95FDD" w:rsidRDefault="00D95FDD" w:rsidP="00504E9D">
      <w:pPr>
        <w:spacing w:after="0" w:line="240" w:lineRule="auto"/>
      </w:pPr>
    </w:p>
    <w:p w14:paraId="6EC59910" w14:textId="77777777" w:rsidR="00D95FDD" w:rsidRDefault="00D95FDD" w:rsidP="00504E9D">
      <w:pPr>
        <w:spacing w:after="0" w:line="240" w:lineRule="auto"/>
      </w:pPr>
    </w:p>
    <w:p w14:paraId="1C7FF882" w14:textId="3C8918B7" w:rsidR="00C41BAB" w:rsidRDefault="00C41BAB" w:rsidP="00822CD4">
      <w:pPr>
        <w:spacing w:after="0" w:line="240" w:lineRule="auto"/>
      </w:pPr>
      <w:r>
        <w:br w:type="page"/>
      </w:r>
    </w:p>
    <w:p w14:paraId="10287F4A" w14:textId="0143AE3D" w:rsidR="005C5E5F" w:rsidRPr="00C41BAB" w:rsidRDefault="00C41BAB" w:rsidP="00C41BAB">
      <w:pPr>
        <w:spacing w:after="0" w:line="240" w:lineRule="auto"/>
        <w:jc w:val="center"/>
        <w:rPr>
          <w:b/>
          <w:bCs/>
          <w:sz w:val="28"/>
          <w:szCs w:val="28"/>
        </w:rPr>
      </w:pPr>
      <w:r w:rsidRPr="00C41BAB">
        <w:rPr>
          <w:b/>
          <w:bCs/>
          <w:sz w:val="28"/>
          <w:szCs w:val="28"/>
        </w:rPr>
        <w:lastRenderedPageBreak/>
        <w:t>STATE LAW CASES</w:t>
      </w:r>
    </w:p>
    <w:p w14:paraId="618DF10F" w14:textId="77777777" w:rsidR="00C41BAB" w:rsidRDefault="00C41BAB" w:rsidP="00C41BAB">
      <w:pPr>
        <w:spacing w:after="0" w:line="240" w:lineRule="auto"/>
      </w:pPr>
      <w:r>
        <w:t xml:space="preserve">Commonwealth v. </w:t>
      </w:r>
      <w:proofErr w:type="spellStart"/>
      <w:r>
        <w:t>Comenzo</w:t>
      </w:r>
      <w:proofErr w:type="spellEnd"/>
    </w:p>
    <w:p w14:paraId="624138AE" w14:textId="77777777" w:rsidR="00C41BAB" w:rsidRDefault="00C41BAB" w:rsidP="00C41BAB">
      <w:pPr>
        <w:spacing w:after="0" w:line="240" w:lineRule="auto"/>
      </w:pPr>
      <w:r>
        <w:t>Court: Massachusetts Supreme Judicial Court</w:t>
      </w:r>
    </w:p>
    <w:p w14:paraId="5F2A7EC5" w14:textId="77777777" w:rsidR="00C41BAB" w:rsidRDefault="00C41BAB" w:rsidP="00C41BAB">
      <w:pPr>
        <w:spacing w:after="0" w:line="240" w:lineRule="auto"/>
      </w:pPr>
      <w:r>
        <w:t>Opinion Date: February 11, 2022</w:t>
      </w:r>
    </w:p>
    <w:p w14:paraId="7C4E330A" w14:textId="77777777" w:rsidR="00C41BAB" w:rsidRDefault="00C41BAB" w:rsidP="00C41BAB">
      <w:pPr>
        <w:spacing w:after="0" w:line="240" w:lineRule="auto"/>
      </w:pPr>
    </w:p>
    <w:p w14:paraId="6486CDE9" w14:textId="1AD0318F" w:rsidR="00C41BAB" w:rsidRDefault="00C41BAB" w:rsidP="00C41BAB">
      <w:pPr>
        <w:spacing w:after="0" w:line="240" w:lineRule="auto"/>
      </w:pPr>
      <w:r>
        <w:t>Tags: Pole Camera</w:t>
      </w:r>
      <w:r w:rsidR="004E41AC">
        <w:t>, Mosaic Theory of Searches</w:t>
      </w:r>
    </w:p>
    <w:p w14:paraId="4208D52B" w14:textId="77777777" w:rsidR="00C41BAB" w:rsidRDefault="00C41BAB" w:rsidP="00C41BAB">
      <w:pPr>
        <w:spacing w:after="0" w:line="240" w:lineRule="auto"/>
      </w:pPr>
    </w:p>
    <w:p w14:paraId="2FF1451F" w14:textId="22964700" w:rsidR="00C41BAB" w:rsidRDefault="00C41BAB" w:rsidP="00C41BAB">
      <w:pPr>
        <w:spacing w:after="0" w:line="240" w:lineRule="auto"/>
      </w:pPr>
      <w:r>
        <w:t>The Supreme Judicial Court affirmed the order of the denying Defendant's motion to suppress evidence obtained after surveillance was conducted at Defendant's apartment building via a hidden video camera placed on a nearby public utility pole, holding that although the pole camera surveillance constituted a warrantless search under article 14 of the Massachusetts Declaration of Rights, it was nevertheless constitutional. Defendant was indicted on child pornography charges. After the surveillance at issue in this case took place but before the superior court decided Defendant's motion to suppress, Commonwealth v. Mora, 485 Mass. 360 (2020) was decided. In Mora, the Supreme Judicial Court decided that pole camera surveillance could, under certain circumstances, constitute a search requiring a warrant. After the motion to suppress in this case was decided, Defendant brought an interlocutory appeal. The Supreme Judicial Court affirmed the order denying Defendant's motion to suppress, holding (1) the pole camera surveillance constituted a search; but (2) probable cause existed to conduct the pole camera surveillance prior to the time the search began.</w:t>
      </w:r>
    </w:p>
    <w:p w14:paraId="466FC098" w14:textId="483C66D4" w:rsidR="00C41BAB" w:rsidRDefault="00C41BAB" w:rsidP="00F279FD">
      <w:pPr>
        <w:spacing w:after="0" w:line="240" w:lineRule="auto"/>
      </w:pPr>
    </w:p>
    <w:p w14:paraId="5041A42A" w14:textId="52C54B26" w:rsidR="00C41BAB" w:rsidRDefault="00C41BAB" w:rsidP="00F279FD">
      <w:pPr>
        <w:spacing w:after="0" w:line="240" w:lineRule="auto"/>
      </w:pPr>
    </w:p>
    <w:p w14:paraId="75E0C146" w14:textId="711E4B0C" w:rsidR="00CE0E25" w:rsidRDefault="00CE0E25" w:rsidP="00F279FD">
      <w:pPr>
        <w:spacing w:after="0" w:line="240" w:lineRule="auto"/>
      </w:pPr>
    </w:p>
    <w:p w14:paraId="32320C16" w14:textId="77777777" w:rsidR="00BD5EE3" w:rsidRDefault="00BD5EE3" w:rsidP="00F279FD">
      <w:pPr>
        <w:spacing w:after="0" w:line="240" w:lineRule="auto"/>
      </w:pPr>
    </w:p>
    <w:p w14:paraId="6AA8C52A" w14:textId="67A0CF58" w:rsidR="00CE0E25" w:rsidRDefault="00CE0E25" w:rsidP="00F279FD">
      <w:pPr>
        <w:spacing w:after="0" w:line="240" w:lineRule="auto"/>
      </w:pPr>
    </w:p>
    <w:p w14:paraId="1F3F632C" w14:textId="5DCC60A8" w:rsidR="00CE0E25" w:rsidRDefault="00CE0E25" w:rsidP="00F279FD">
      <w:pPr>
        <w:spacing w:after="0" w:line="240" w:lineRule="auto"/>
      </w:pPr>
    </w:p>
    <w:p w14:paraId="04A4E66D" w14:textId="45288B76" w:rsidR="00CE0E25" w:rsidRDefault="00CE0E25" w:rsidP="00F279FD">
      <w:pPr>
        <w:spacing w:after="0" w:line="240" w:lineRule="auto"/>
      </w:pPr>
    </w:p>
    <w:p w14:paraId="3F7AF99F" w14:textId="77777777" w:rsidR="00CE0E25" w:rsidRDefault="00CE0E25" w:rsidP="00F279FD">
      <w:pPr>
        <w:spacing w:after="0" w:line="240" w:lineRule="auto"/>
      </w:pPr>
    </w:p>
    <w:p w14:paraId="109D9642" w14:textId="089A093F" w:rsidR="00AF41CF" w:rsidRDefault="00AF41CF" w:rsidP="00F279FD">
      <w:pPr>
        <w:spacing w:after="0" w:line="240" w:lineRule="auto"/>
      </w:pPr>
    </w:p>
    <w:p w14:paraId="186160E6" w14:textId="77777777" w:rsidR="00AF41CF" w:rsidRDefault="00AF41CF" w:rsidP="00F279FD">
      <w:pPr>
        <w:spacing w:after="0" w:line="240" w:lineRule="auto"/>
      </w:pPr>
    </w:p>
    <w:p w14:paraId="048C9C4E" w14:textId="21550852" w:rsidR="00BD0F58" w:rsidRDefault="00BD0F58" w:rsidP="00BD0F58">
      <w:pPr>
        <w:spacing w:after="0" w:line="240" w:lineRule="auto"/>
      </w:pPr>
    </w:p>
    <w:p w14:paraId="562CFD2A" w14:textId="16F92A1F" w:rsidR="00BD0F58" w:rsidRDefault="00BD0F58" w:rsidP="00BD0F58">
      <w:pPr>
        <w:spacing w:after="0" w:line="240" w:lineRule="auto"/>
      </w:pPr>
    </w:p>
    <w:p w14:paraId="6FD1B662" w14:textId="5B4EC69C" w:rsidR="00BD0F58" w:rsidRDefault="00BD0F58" w:rsidP="00BD0F58">
      <w:pPr>
        <w:spacing w:after="0" w:line="240" w:lineRule="auto"/>
      </w:pPr>
    </w:p>
    <w:p w14:paraId="782635FF" w14:textId="6CF263FB" w:rsidR="00BD0F58" w:rsidRDefault="00BD0F58" w:rsidP="00BD0F58">
      <w:pPr>
        <w:spacing w:after="0" w:line="240" w:lineRule="auto"/>
      </w:pPr>
    </w:p>
    <w:p w14:paraId="29F28733" w14:textId="58398279" w:rsidR="00BD0F58" w:rsidRDefault="00BD0F58" w:rsidP="00BD0F58">
      <w:pPr>
        <w:spacing w:after="0" w:line="240" w:lineRule="auto"/>
      </w:pPr>
    </w:p>
    <w:p w14:paraId="314F38B8" w14:textId="473FBFBD" w:rsidR="00BD0F58" w:rsidRDefault="00BD0F58" w:rsidP="00BD0F58">
      <w:pPr>
        <w:spacing w:after="0" w:line="240" w:lineRule="auto"/>
      </w:pPr>
    </w:p>
    <w:p w14:paraId="73AB87C7" w14:textId="1684E07F" w:rsidR="00BD0F58" w:rsidRDefault="00BD0F58" w:rsidP="00BD0F58">
      <w:pPr>
        <w:spacing w:after="0" w:line="240" w:lineRule="auto"/>
      </w:pPr>
    </w:p>
    <w:p w14:paraId="02A51DB7" w14:textId="1371A417" w:rsidR="00BD0F58" w:rsidRDefault="00BD0F58" w:rsidP="00BD0F58">
      <w:pPr>
        <w:spacing w:after="0" w:line="240" w:lineRule="auto"/>
      </w:pPr>
    </w:p>
    <w:p w14:paraId="09B0B917" w14:textId="5BB94A58" w:rsidR="00BD0F58" w:rsidRDefault="00BD0F58" w:rsidP="00BD0F58">
      <w:pPr>
        <w:spacing w:after="0" w:line="240" w:lineRule="auto"/>
      </w:pPr>
    </w:p>
    <w:p w14:paraId="6E660B80" w14:textId="5BD41F2A" w:rsidR="00BD0F58" w:rsidRDefault="00BD0F58" w:rsidP="00BD0F58">
      <w:pPr>
        <w:spacing w:after="0" w:line="240" w:lineRule="auto"/>
      </w:pPr>
    </w:p>
    <w:p w14:paraId="73BC7D39" w14:textId="211CF449" w:rsidR="00BD0F58" w:rsidRDefault="00BD0F58" w:rsidP="00BD0F58">
      <w:pPr>
        <w:spacing w:after="0" w:line="240" w:lineRule="auto"/>
      </w:pPr>
    </w:p>
    <w:p w14:paraId="6ED462AB" w14:textId="64DA2544" w:rsidR="00BD0F58" w:rsidRDefault="00BD0F58" w:rsidP="00BD0F58">
      <w:pPr>
        <w:spacing w:after="0" w:line="240" w:lineRule="auto"/>
      </w:pPr>
    </w:p>
    <w:p w14:paraId="1FD49851" w14:textId="39E42382" w:rsidR="00BD0F58" w:rsidRDefault="00BD0F58" w:rsidP="00BD0F58">
      <w:pPr>
        <w:spacing w:after="0" w:line="240" w:lineRule="auto"/>
      </w:pPr>
    </w:p>
    <w:p w14:paraId="00330208" w14:textId="3FE18B2D" w:rsidR="00BD0F58" w:rsidRDefault="00BD0F58" w:rsidP="00BD0F58">
      <w:pPr>
        <w:spacing w:after="0" w:line="240" w:lineRule="auto"/>
      </w:pPr>
    </w:p>
    <w:p w14:paraId="4AA525E0" w14:textId="3CAAD326" w:rsidR="00BD0F58" w:rsidRDefault="00BD0F58" w:rsidP="00BD0F58">
      <w:pPr>
        <w:spacing w:after="0" w:line="240" w:lineRule="auto"/>
      </w:pPr>
    </w:p>
    <w:p w14:paraId="00732B4E" w14:textId="5D510249" w:rsidR="00BD0F58" w:rsidRDefault="00BD0F58" w:rsidP="00BD0F58">
      <w:pPr>
        <w:spacing w:after="0" w:line="240" w:lineRule="auto"/>
      </w:pPr>
    </w:p>
    <w:p w14:paraId="07D19825" w14:textId="0EC6786B" w:rsidR="00BD0F58" w:rsidRDefault="00BD0F58" w:rsidP="00BD0F58">
      <w:pPr>
        <w:spacing w:after="0" w:line="240" w:lineRule="auto"/>
      </w:pPr>
    </w:p>
    <w:p w14:paraId="6F066474" w14:textId="6348B032" w:rsidR="00BD0F58" w:rsidRDefault="00BD0F58" w:rsidP="00BD0F58">
      <w:pPr>
        <w:spacing w:after="0" w:line="240" w:lineRule="auto"/>
      </w:pPr>
    </w:p>
    <w:p w14:paraId="769C6A51" w14:textId="69A7A4CD" w:rsidR="00BD0F58" w:rsidRDefault="00BD0F58" w:rsidP="00BD0F58">
      <w:pPr>
        <w:spacing w:after="0" w:line="240" w:lineRule="auto"/>
      </w:pPr>
    </w:p>
    <w:p w14:paraId="5F6A4495" w14:textId="77777777" w:rsidR="00BD0F58" w:rsidRDefault="00BD0F58" w:rsidP="00BD0F58">
      <w:pPr>
        <w:spacing w:after="0" w:line="240" w:lineRule="auto"/>
      </w:pPr>
    </w:p>
    <w:sectPr w:rsidR="00BD0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FF"/>
    <w:rsid w:val="00132340"/>
    <w:rsid w:val="00190B9C"/>
    <w:rsid w:val="0019718F"/>
    <w:rsid w:val="00284D36"/>
    <w:rsid w:val="003E6405"/>
    <w:rsid w:val="004E41AC"/>
    <w:rsid w:val="00504E9D"/>
    <w:rsid w:val="0050697F"/>
    <w:rsid w:val="00524838"/>
    <w:rsid w:val="005C5E5F"/>
    <w:rsid w:val="00811418"/>
    <w:rsid w:val="00822CD4"/>
    <w:rsid w:val="008E17E3"/>
    <w:rsid w:val="00AF41CF"/>
    <w:rsid w:val="00BD0F58"/>
    <w:rsid w:val="00BD5EE3"/>
    <w:rsid w:val="00C41BAB"/>
    <w:rsid w:val="00CE0E25"/>
    <w:rsid w:val="00D130A7"/>
    <w:rsid w:val="00D95FDD"/>
    <w:rsid w:val="00DA0551"/>
    <w:rsid w:val="00DE1ADD"/>
    <w:rsid w:val="00F15BFF"/>
    <w:rsid w:val="00F2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7CB2"/>
  <w15:chartTrackingRefBased/>
  <w15:docId w15:val="{1FCBEB5D-64CC-4FD1-9933-0F750D1C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21</cp:revision>
  <dcterms:created xsi:type="dcterms:W3CDTF">2022-02-18T16:11:00Z</dcterms:created>
  <dcterms:modified xsi:type="dcterms:W3CDTF">2022-02-18T17:23:00Z</dcterms:modified>
</cp:coreProperties>
</file>