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51970" w14:textId="77777777" w:rsidR="00DF4922" w:rsidRDefault="009641B8">
      <w:r>
        <w:t>31MAR2023 Cases</w:t>
      </w:r>
    </w:p>
    <w:p w14:paraId="694DB667" w14:textId="77777777" w:rsidR="009641B8" w:rsidRDefault="009641B8"/>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A2354A" w:rsidRPr="00A2354A" w14:paraId="5D035E35" w14:textId="77777777" w:rsidTr="00A2354A">
        <w:tc>
          <w:tcPr>
            <w:tcW w:w="0" w:type="auto"/>
            <w:shd w:val="clear" w:color="auto" w:fill="FFFFFF"/>
            <w:tcMar>
              <w:top w:w="450" w:type="dxa"/>
              <w:left w:w="0" w:type="dxa"/>
              <w:bottom w:w="0" w:type="dxa"/>
              <w:right w:w="0" w:type="dxa"/>
            </w:tcMar>
            <w:vAlign w:val="center"/>
            <w:hideMark/>
          </w:tcPr>
          <w:bookmarkStart w:id="0" w:name="summary_194347"/>
          <w:p w14:paraId="0C1D599C" w14:textId="77777777" w:rsidR="00A2354A" w:rsidRPr="00A2354A" w:rsidRDefault="00A2354A" w:rsidP="00A2354A">
            <w:pPr>
              <w:rPr>
                <w:rFonts w:ascii="Arial" w:eastAsia="Times New Roman" w:hAnsi="Arial" w:cs="Arial"/>
                <w:color w:val="000000"/>
                <w:kern w:val="0"/>
                <w:sz w:val="24"/>
                <w:szCs w:val="24"/>
                <w14:ligatures w14:val="none"/>
              </w:rPr>
            </w:pPr>
            <w:r w:rsidRPr="00A2354A">
              <w:rPr>
                <w:rFonts w:ascii="Arial" w:eastAsia="Times New Roman" w:hAnsi="Arial" w:cs="Arial"/>
                <w:color w:val="000000"/>
                <w:kern w:val="0"/>
                <w:sz w:val="24"/>
                <w:szCs w:val="24"/>
                <w14:ligatures w14:val="none"/>
              </w:rPr>
              <w:fldChar w:fldCharType="begin"/>
            </w:r>
            <w:r w:rsidRPr="00A2354A">
              <w:rPr>
                <w:rFonts w:ascii="Arial" w:eastAsia="Times New Roman" w:hAnsi="Arial" w:cs="Arial"/>
                <w:color w:val="000000"/>
                <w:kern w:val="0"/>
                <w:sz w:val="24"/>
                <w:szCs w:val="24"/>
                <w14:ligatures w14:val="none"/>
              </w:rPr>
              <w:instrText xml:space="preserve"> HYPERLINK "https://law.justia.com/cases/federal/appellate-courts/ca5/21-51208/21-51208-2023-03-28.html?utm_source=summary-newsletters&amp;utm_medium=email&amp;utm_campaign=2023-03-31-criminal-law-&amp;utm_content=text-case-title-12" \t "_blank" </w:instrText>
            </w:r>
            <w:r w:rsidRPr="00A2354A">
              <w:rPr>
                <w:rFonts w:ascii="Arial" w:eastAsia="Times New Roman" w:hAnsi="Arial" w:cs="Arial"/>
                <w:color w:val="000000"/>
                <w:kern w:val="0"/>
                <w:sz w:val="24"/>
                <w:szCs w:val="24"/>
                <w14:ligatures w14:val="none"/>
              </w:rPr>
              <w:fldChar w:fldCharType="separate"/>
            </w:r>
            <w:r w:rsidRPr="00A2354A">
              <w:rPr>
                <w:rFonts w:ascii="Arial" w:eastAsia="Times New Roman" w:hAnsi="Arial" w:cs="Arial"/>
                <w:b/>
                <w:bCs/>
                <w:color w:val="06357A"/>
                <w:kern w:val="0"/>
                <w:sz w:val="24"/>
                <w:szCs w:val="24"/>
                <w14:ligatures w14:val="none"/>
              </w:rPr>
              <w:t>USA v. Roper</w:t>
            </w:r>
            <w:r w:rsidRPr="00A2354A">
              <w:rPr>
                <w:rFonts w:ascii="Arial" w:eastAsia="Times New Roman" w:hAnsi="Arial" w:cs="Arial"/>
                <w:color w:val="000000"/>
                <w:kern w:val="0"/>
                <w:sz w:val="24"/>
                <w:szCs w:val="24"/>
                <w14:ligatures w14:val="none"/>
              </w:rPr>
              <w:fldChar w:fldCharType="end"/>
            </w:r>
            <w:bookmarkEnd w:id="0"/>
          </w:p>
        </w:tc>
      </w:tr>
      <w:tr w:rsidR="00A2354A" w:rsidRPr="00A2354A" w14:paraId="3D7F9668" w14:textId="77777777" w:rsidTr="00A2354A">
        <w:tc>
          <w:tcPr>
            <w:tcW w:w="0" w:type="auto"/>
            <w:shd w:val="clear" w:color="auto" w:fill="FFFFFF"/>
            <w:vAlign w:val="center"/>
            <w:hideMark/>
          </w:tcPr>
          <w:p w14:paraId="6541FB5B" w14:textId="77777777" w:rsidR="00A2354A" w:rsidRPr="00A2354A" w:rsidRDefault="00A2354A" w:rsidP="00A2354A">
            <w:pPr>
              <w:rPr>
                <w:rFonts w:ascii="Arial" w:eastAsia="Times New Roman" w:hAnsi="Arial" w:cs="Arial"/>
                <w:color w:val="000000"/>
                <w:kern w:val="0"/>
                <w:sz w:val="21"/>
                <w:szCs w:val="21"/>
                <w14:ligatures w14:val="none"/>
              </w:rPr>
            </w:pPr>
            <w:r w:rsidRPr="00A2354A">
              <w:rPr>
                <w:rFonts w:ascii="Arial" w:eastAsia="Times New Roman" w:hAnsi="Arial" w:cs="Arial"/>
                <w:b/>
                <w:bCs/>
                <w:color w:val="000000"/>
                <w:kern w:val="0"/>
                <w:sz w:val="21"/>
                <w:szCs w:val="21"/>
                <w14:ligatures w14:val="none"/>
              </w:rPr>
              <w:t>Court:</w:t>
            </w:r>
            <w:r w:rsidRPr="00A2354A">
              <w:rPr>
                <w:rFonts w:ascii="Arial" w:eastAsia="Times New Roman" w:hAnsi="Arial" w:cs="Arial"/>
                <w:color w:val="000000"/>
                <w:kern w:val="0"/>
                <w:sz w:val="21"/>
                <w:szCs w:val="21"/>
                <w14:ligatures w14:val="none"/>
              </w:rPr>
              <w:t> US Court of Appeals for the Fifth Circuit</w:t>
            </w:r>
          </w:p>
          <w:p w14:paraId="2F54C5AD" w14:textId="77777777" w:rsidR="00A2354A" w:rsidRPr="00A2354A" w:rsidRDefault="00A2354A" w:rsidP="00A2354A">
            <w:pPr>
              <w:rPr>
                <w:rFonts w:ascii="Arial" w:eastAsia="Times New Roman" w:hAnsi="Arial" w:cs="Arial"/>
                <w:color w:val="000000"/>
                <w:kern w:val="0"/>
                <w:sz w:val="21"/>
                <w:szCs w:val="21"/>
                <w14:ligatures w14:val="none"/>
              </w:rPr>
            </w:pPr>
            <w:r w:rsidRPr="00A2354A">
              <w:rPr>
                <w:rFonts w:ascii="Arial" w:eastAsia="Times New Roman" w:hAnsi="Arial" w:cs="Arial"/>
                <w:b/>
                <w:bCs/>
                <w:color w:val="000000"/>
                <w:kern w:val="0"/>
                <w:sz w:val="21"/>
                <w:szCs w:val="21"/>
                <w14:ligatures w14:val="none"/>
              </w:rPr>
              <w:t>Docket:</w:t>
            </w:r>
            <w:r w:rsidRPr="00A2354A">
              <w:rPr>
                <w:rFonts w:ascii="Arial" w:eastAsia="Times New Roman" w:hAnsi="Arial" w:cs="Arial"/>
                <w:color w:val="000000"/>
                <w:kern w:val="0"/>
                <w:sz w:val="21"/>
                <w:szCs w:val="21"/>
                <w14:ligatures w14:val="none"/>
              </w:rPr>
              <w:t> 21-51208</w:t>
            </w:r>
          </w:p>
          <w:p w14:paraId="62303BBD" w14:textId="77777777" w:rsidR="00A2354A" w:rsidRPr="00A2354A" w:rsidRDefault="00A2354A" w:rsidP="00A2354A">
            <w:pPr>
              <w:rPr>
                <w:rFonts w:ascii="Arial" w:eastAsia="Times New Roman" w:hAnsi="Arial" w:cs="Arial"/>
                <w:color w:val="000000"/>
                <w:kern w:val="0"/>
                <w:sz w:val="21"/>
                <w:szCs w:val="21"/>
                <w14:ligatures w14:val="none"/>
              </w:rPr>
            </w:pPr>
            <w:r w:rsidRPr="00A2354A">
              <w:rPr>
                <w:rFonts w:ascii="Arial" w:eastAsia="Times New Roman" w:hAnsi="Arial" w:cs="Arial"/>
                <w:b/>
                <w:bCs/>
                <w:color w:val="000000"/>
                <w:kern w:val="0"/>
                <w:sz w:val="21"/>
                <w:szCs w:val="21"/>
                <w14:ligatures w14:val="none"/>
              </w:rPr>
              <w:t>Opinion Date:</w:t>
            </w:r>
            <w:r w:rsidRPr="00A2354A">
              <w:rPr>
                <w:rFonts w:ascii="Arial" w:eastAsia="Times New Roman" w:hAnsi="Arial" w:cs="Arial"/>
                <w:color w:val="000000"/>
                <w:kern w:val="0"/>
                <w:sz w:val="21"/>
                <w:szCs w:val="21"/>
                <w14:ligatures w14:val="none"/>
              </w:rPr>
              <w:t> March 28, 2023</w:t>
            </w:r>
          </w:p>
          <w:p w14:paraId="6F709CD8" w14:textId="77777777" w:rsidR="00A2354A" w:rsidRPr="00A2354A" w:rsidRDefault="00A2354A" w:rsidP="00A2354A">
            <w:pPr>
              <w:rPr>
                <w:rFonts w:ascii="Arial" w:eastAsia="Times New Roman" w:hAnsi="Arial" w:cs="Arial"/>
                <w:color w:val="000000"/>
                <w:kern w:val="0"/>
                <w:sz w:val="21"/>
                <w:szCs w:val="21"/>
                <w14:ligatures w14:val="none"/>
              </w:rPr>
            </w:pPr>
            <w:r w:rsidRPr="00A2354A">
              <w:rPr>
                <w:rFonts w:ascii="Arial" w:eastAsia="Times New Roman" w:hAnsi="Arial" w:cs="Arial"/>
                <w:b/>
                <w:bCs/>
                <w:color w:val="000000"/>
                <w:kern w:val="0"/>
                <w:sz w:val="21"/>
                <w:szCs w:val="21"/>
                <w14:ligatures w14:val="none"/>
              </w:rPr>
              <w:t>Judge:</w:t>
            </w:r>
            <w:r w:rsidRPr="00A2354A">
              <w:rPr>
                <w:rFonts w:ascii="Arial" w:eastAsia="Times New Roman" w:hAnsi="Arial" w:cs="Arial"/>
                <w:color w:val="000000"/>
                <w:kern w:val="0"/>
                <w:sz w:val="21"/>
                <w:szCs w:val="21"/>
                <w14:ligatures w14:val="none"/>
              </w:rPr>
              <w:t xml:space="preserve"> Per </w:t>
            </w:r>
            <w:proofErr w:type="spellStart"/>
            <w:r w:rsidRPr="00A2354A">
              <w:rPr>
                <w:rFonts w:ascii="Arial" w:eastAsia="Times New Roman" w:hAnsi="Arial" w:cs="Arial"/>
                <w:color w:val="000000"/>
                <w:kern w:val="0"/>
                <w:sz w:val="21"/>
                <w:szCs w:val="21"/>
                <w14:ligatures w14:val="none"/>
              </w:rPr>
              <w:t>Curiam</w:t>
            </w:r>
            <w:proofErr w:type="spellEnd"/>
          </w:p>
          <w:p w14:paraId="4E3E0CD8" w14:textId="77777777" w:rsidR="00A2354A" w:rsidRPr="00A2354A" w:rsidRDefault="00A2354A" w:rsidP="00A2354A">
            <w:pPr>
              <w:rPr>
                <w:rFonts w:ascii="Arial" w:eastAsia="Times New Roman" w:hAnsi="Arial" w:cs="Arial"/>
                <w:color w:val="000000"/>
                <w:kern w:val="0"/>
                <w:sz w:val="21"/>
                <w:szCs w:val="21"/>
                <w14:ligatures w14:val="none"/>
              </w:rPr>
            </w:pPr>
            <w:r w:rsidRPr="00A2354A">
              <w:rPr>
                <w:rFonts w:ascii="Arial" w:eastAsia="Times New Roman" w:hAnsi="Arial" w:cs="Arial"/>
                <w:b/>
                <w:bCs/>
                <w:color w:val="000000"/>
                <w:kern w:val="0"/>
                <w:sz w:val="21"/>
                <w:szCs w:val="21"/>
                <w14:ligatures w14:val="none"/>
              </w:rPr>
              <w:t>Areas of Law:</w:t>
            </w:r>
            <w:r w:rsidRPr="00A2354A">
              <w:rPr>
                <w:rFonts w:ascii="Arial" w:eastAsia="Times New Roman" w:hAnsi="Arial" w:cs="Arial"/>
                <w:color w:val="000000"/>
                <w:kern w:val="0"/>
                <w:sz w:val="21"/>
                <w:szCs w:val="21"/>
                <w14:ligatures w14:val="none"/>
              </w:rPr>
              <w:t> Constitutional Law, Criminal Law</w:t>
            </w:r>
          </w:p>
        </w:tc>
      </w:tr>
      <w:tr w:rsidR="00A2354A" w:rsidRPr="00A2354A" w14:paraId="1122E6D8" w14:textId="77777777" w:rsidTr="00A2354A">
        <w:tc>
          <w:tcPr>
            <w:tcW w:w="0" w:type="auto"/>
            <w:shd w:val="clear" w:color="auto" w:fill="FFFFFF"/>
            <w:tcMar>
              <w:top w:w="225" w:type="dxa"/>
              <w:left w:w="0" w:type="dxa"/>
              <w:bottom w:w="225" w:type="dxa"/>
              <w:right w:w="0" w:type="dxa"/>
            </w:tcMar>
            <w:vAlign w:val="center"/>
            <w:hideMark/>
          </w:tcPr>
          <w:p w14:paraId="62B9E8C0" w14:textId="77777777" w:rsidR="00A2354A" w:rsidRPr="00A2354A" w:rsidRDefault="00A2354A" w:rsidP="00A2354A">
            <w:pPr>
              <w:rPr>
                <w:rFonts w:ascii="Arial" w:eastAsia="Times New Roman" w:hAnsi="Arial" w:cs="Arial"/>
                <w:color w:val="000000"/>
                <w:kern w:val="0"/>
                <w:sz w:val="24"/>
                <w:szCs w:val="24"/>
                <w14:ligatures w14:val="none"/>
              </w:rPr>
            </w:pPr>
            <w:r w:rsidRPr="00A2354A">
              <w:rPr>
                <w:rFonts w:ascii="Arial" w:eastAsia="Times New Roman" w:hAnsi="Arial" w:cs="Arial"/>
                <w:color w:val="000000"/>
                <w:kern w:val="0"/>
                <w:sz w:val="24"/>
                <w:szCs w:val="24"/>
                <w14:ligatures w14:val="none"/>
              </w:rPr>
              <w:t>Defendant was convicted after a bench trial of possession of a firearm by a felon. On appeal, Defendant contended that the district court erred in denying his motion to suppress evidence.</w:t>
            </w:r>
            <w:r w:rsidRPr="00A2354A">
              <w:rPr>
                <w:rFonts w:ascii="Arial" w:eastAsia="Times New Roman" w:hAnsi="Arial" w:cs="Arial"/>
                <w:color w:val="000000"/>
                <w:kern w:val="0"/>
                <w:sz w:val="24"/>
                <w:szCs w:val="24"/>
                <w14:ligatures w14:val="none"/>
              </w:rPr>
              <w:br/>
              <w:t> </w:t>
            </w:r>
            <w:r w:rsidRPr="00A2354A">
              <w:rPr>
                <w:rFonts w:ascii="Arial" w:eastAsia="Times New Roman" w:hAnsi="Arial" w:cs="Arial"/>
                <w:color w:val="000000"/>
                <w:kern w:val="0"/>
                <w:sz w:val="24"/>
                <w:szCs w:val="24"/>
                <w14:ligatures w14:val="none"/>
              </w:rPr>
              <w:br/>
              <w:t>The Fifth Circuit affirmed, finding that the Sergeant had reasonable suspicion that Defendant was engaged in criminal activity in the alley. First, Defendant’s location and timing provide a strong foundation for finding reasonable suspicion. Second, Defendant’s emergence and subsequent actions similarly give rise to reasonable suspicion. Third, Defendant’s inconsistent and nonsensical answers to the Sergeant’s questions gave rise to reasonable suspicion. Further, the court explained that even if the Sergeant and officer realized in the course of the seizure that Defendant was not the individual in the photograph, there remained numerous articulable and suspicious facts supporting a reasonable suspicion of wrongdoing sufficient to extend the seizure, namely Defendant’s actions and statements before the photograph’s arrival as well as his suspicious answers in response to questions generated by the picture itself.</w:t>
            </w:r>
          </w:p>
        </w:tc>
      </w:tr>
    </w:tbl>
    <w:p w14:paraId="655B69A7" w14:textId="77777777" w:rsidR="009641B8" w:rsidRDefault="009641B8"/>
    <w:p w14:paraId="37C13AC6" w14:textId="77777777" w:rsidR="00434D18" w:rsidRDefault="00434D18"/>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D56CE2" w:rsidRPr="00D56CE2" w14:paraId="09F776EB" w14:textId="77777777" w:rsidTr="00D56CE2">
        <w:tc>
          <w:tcPr>
            <w:tcW w:w="0" w:type="auto"/>
            <w:shd w:val="clear" w:color="auto" w:fill="FFFFFF"/>
            <w:tcMar>
              <w:top w:w="450" w:type="dxa"/>
              <w:left w:w="0" w:type="dxa"/>
              <w:bottom w:w="0" w:type="dxa"/>
              <w:right w:w="0" w:type="dxa"/>
            </w:tcMar>
            <w:vAlign w:val="center"/>
            <w:hideMark/>
          </w:tcPr>
          <w:bookmarkStart w:id="1" w:name="summary_194319"/>
          <w:p w14:paraId="5B9F511C" w14:textId="77777777" w:rsidR="00D56CE2" w:rsidRPr="00D56CE2" w:rsidRDefault="00D56CE2" w:rsidP="00D56CE2">
            <w:pPr>
              <w:rPr>
                <w:rFonts w:ascii="Arial" w:eastAsia="Times New Roman" w:hAnsi="Arial" w:cs="Arial"/>
                <w:color w:val="000000"/>
                <w:kern w:val="0"/>
                <w:sz w:val="24"/>
                <w:szCs w:val="24"/>
                <w14:ligatures w14:val="none"/>
              </w:rPr>
            </w:pPr>
            <w:r w:rsidRPr="00D56CE2">
              <w:rPr>
                <w:rFonts w:ascii="Arial" w:eastAsia="Times New Roman" w:hAnsi="Arial" w:cs="Arial"/>
                <w:color w:val="000000"/>
                <w:kern w:val="0"/>
                <w:sz w:val="24"/>
                <w:szCs w:val="24"/>
                <w14:ligatures w14:val="none"/>
              </w:rPr>
              <w:fldChar w:fldCharType="begin"/>
            </w:r>
            <w:r w:rsidRPr="00D56CE2">
              <w:rPr>
                <w:rFonts w:ascii="Arial" w:eastAsia="Times New Roman" w:hAnsi="Arial" w:cs="Arial"/>
                <w:color w:val="000000"/>
                <w:kern w:val="0"/>
                <w:sz w:val="24"/>
                <w:szCs w:val="24"/>
                <w14:ligatures w14:val="none"/>
              </w:rPr>
              <w:instrText xml:space="preserve"> HYPERLINK "https://law.justia.com/cases/federal/appellate-courts/ca6/22-3488/22-3488-2023-03-28.html?utm_source=summary-newsletters&amp;utm_medium=email&amp;utm_campaign=2023-03-31-criminal-law-&amp;utm_content=text-case-title-13" \t "_blank" </w:instrText>
            </w:r>
            <w:r w:rsidRPr="00D56CE2">
              <w:rPr>
                <w:rFonts w:ascii="Arial" w:eastAsia="Times New Roman" w:hAnsi="Arial" w:cs="Arial"/>
                <w:color w:val="000000"/>
                <w:kern w:val="0"/>
                <w:sz w:val="24"/>
                <w:szCs w:val="24"/>
                <w14:ligatures w14:val="none"/>
              </w:rPr>
              <w:fldChar w:fldCharType="separate"/>
            </w:r>
            <w:r w:rsidRPr="00D56CE2">
              <w:rPr>
                <w:rFonts w:ascii="Arial" w:eastAsia="Times New Roman" w:hAnsi="Arial" w:cs="Arial"/>
                <w:b/>
                <w:bCs/>
                <w:color w:val="06357A"/>
                <w:kern w:val="0"/>
                <w:sz w:val="24"/>
                <w:szCs w:val="24"/>
                <w14:ligatures w14:val="none"/>
              </w:rPr>
              <w:t>United States v. Jacobs</w:t>
            </w:r>
            <w:r w:rsidRPr="00D56CE2">
              <w:rPr>
                <w:rFonts w:ascii="Arial" w:eastAsia="Times New Roman" w:hAnsi="Arial" w:cs="Arial"/>
                <w:color w:val="000000"/>
                <w:kern w:val="0"/>
                <w:sz w:val="24"/>
                <w:szCs w:val="24"/>
                <w14:ligatures w14:val="none"/>
              </w:rPr>
              <w:fldChar w:fldCharType="end"/>
            </w:r>
            <w:bookmarkEnd w:id="1"/>
          </w:p>
        </w:tc>
      </w:tr>
      <w:tr w:rsidR="00D56CE2" w:rsidRPr="00D56CE2" w14:paraId="06E6956C" w14:textId="77777777" w:rsidTr="00D56CE2">
        <w:tc>
          <w:tcPr>
            <w:tcW w:w="0" w:type="auto"/>
            <w:shd w:val="clear" w:color="auto" w:fill="FFFFFF"/>
            <w:vAlign w:val="center"/>
            <w:hideMark/>
          </w:tcPr>
          <w:p w14:paraId="7599BD61" w14:textId="77777777" w:rsidR="00D56CE2" w:rsidRPr="00D56CE2" w:rsidRDefault="00D56CE2" w:rsidP="00D56CE2">
            <w:pPr>
              <w:rPr>
                <w:rFonts w:ascii="Arial" w:eastAsia="Times New Roman" w:hAnsi="Arial" w:cs="Arial"/>
                <w:color w:val="000000"/>
                <w:kern w:val="0"/>
                <w:sz w:val="21"/>
                <w:szCs w:val="21"/>
                <w14:ligatures w14:val="none"/>
              </w:rPr>
            </w:pPr>
            <w:r w:rsidRPr="00D56CE2">
              <w:rPr>
                <w:rFonts w:ascii="Arial" w:eastAsia="Times New Roman" w:hAnsi="Arial" w:cs="Arial"/>
                <w:b/>
                <w:bCs/>
                <w:color w:val="000000"/>
                <w:kern w:val="0"/>
                <w:sz w:val="21"/>
                <w:szCs w:val="21"/>
                <w14:ligatures w14:val="none"/>
              </w:rPr>
              <w:t>Court:</w:t>
            </w:r>
            <w:r w:rsidRPr="00D56CE2">
              <w:rPr>
                <w:rFonts w:ascii="Arial" w:eastAsia="Times New Roman" w:hAnsi="Arial" w:cs="Arial"/>
                <w:color w:val="000000"/>
                <w:kern w:val="0"/>
                <w:sz w:val="21"/>
                <w:szCs w:val="21"/>
                <w14:ligatures w14:val="none"/>
              </w:rPr>
              <w:t> US Court of Appeals for the Sixth Circuit</w:t>
            </w:r>
          </w:p>
          <w:p w14:paraId="2603324B" w14:textId="77777777" w:rsidR="00D56CE2" w:rsidRPr="00D56CE2" w:rsidRDefault="00D56CE2" w:rsidP="00D56CE2">
            <w:pPr>
              <w:rPr>
                <w:rFonts w:ascii="Arial" w:eastAsia="Times New Roman" w:hAnsi="Arial" w:cs="Arial"/>
                <w:color w:val="000000"/>
                <w:kern w:val="0"/>
                <w:sz w:val="21"/>
                <w:szCs w:val="21"/>
                <w14:ligatures w14:val="none"/>
              </w:rPr>
            </w:pPr>
            <w:r w:rsidRPr="00D56CE2">
              <w:rPr>
                <w:rFonts w:ascii="Arial" w:eastAsia="Times New Roman" w:hAnsi="Arial" w:cs="Arial"/>
                <w:b/>
                <w:bCs/>
                <w:color w:val="000000"/>
                <w:kern w:val="0"/>
                <w:sz w:val="21"/>
                <w:szCs w:val="21"/>
                <w14:ligatures w14:val="none"/>
              </w:rPr>
              <w:t>Docket:</w:t>
            </w:r>
            <w:r w:rsidRPr="00D56CE2">
              <w:rPr>
                <w:rFonts w:ascii="Arial" w:eastAsia="Times New Roman" w:hAnsi="Arial" w:cs="Arial"/>
                <w:color w:val="000000"/>
                <w:kern w:val="0"/>
                <w:sz w:val="21"/>
                <w:szCs w:val="21"/>
                <w14:ligatures w14:val="none"/>
              </w:rPr>
              <w:t> 22-3488</w:t>
            </w:r>
          </w:p>
          <w:p w14:paraId="63AD2B0E" w14:textId="77777777" w:rsidR="00D56CE2" w:rsidRPr="00D56CE2" w:rsidRDefault="00D56CE2" w:rsidP="00D56CE2">
            <w:pPr>
              <w:rPr>
                <w:rFonts w:ascii="Arial" w:eastAsia="Times New Roman" w:hAnsi="Arial" w:cs="Arial"/>
                <w:color w:val="000000"/>
                <w:kern w:val="0"/>
                <w:sz w:val="21"/>
                <w:szCs w:val="21"/>
                <w14:ligatures w14:val="none"/>
              </w:rPr>
            </w:pPr>
            <w:r w:rsidRPr="00D56CE2">
              <w:rPr>
                <w:rFonts w:ascii="Arial" w:eastAsia="Times New Roman" w:hAnsi="Arial" w:cs="Arial"/>
                <w:b/>
                <w:bCs/>
                <w:color w:val="000000"/>
                <w:kern w:val="0"/>
                <w:sz w:val="21"/>
                <w:szCs w:val="21"/>
                <w14:ligatures w14:val="none"/>
              </w:rPr>
              <w:t>Opinion Date:</w:t>
            </w:r>
            <w:r w:rsidRPr="00D56CE2">
              <w:rPr>
                <w:rFonts w:ascii="Arial" w:eastAsia="Times New Roman" w:hAnsi="Arial" w:cs="Arial"/>
                <w:color w:val="000000"/>
                <w:kern w:val="0"/>
                <w:sz w:val="21"/>
                <w:szCs w:val="21"/>
                <w14:ligatures w14:val="none"/>
              </w:rPr>
              <w:t> March 28, 2023</w:t>
            </w:r>
          </w:p>
          <w:p w14:paraId="0559A0B1" w14:textId="77777777" w:rsidR="00D56CE2" w:rsidRPr="00D56CE2" w:rsidRDefault="00D56CE2" w:rsidP="00D56CE2">
            <w:pPr>
              <w:rPr>
                <w:rFonts w:ascii="Arial" w:eastAsia="Times New Roman" w:hAnsi="Arial" w:cs="Arial"/>
                <w:color w:val="000000"/>
                <w:kern w:val="0"/>
                <w:sz w:val="21"/>
                <w:szCs w:val="21"/>
                <w14:ligatures w14:val="none"/>
              </w:rPr>
            </w:pPr>
            <w:r w:rsidRPr="00D56CE2">
              <w:rPr>
                <w:rFonts w:ascii="Arial" w:eastAsia="Times New Roman" w:hAnsi="Arial" w:cs="Arial"/>
                <w:b/>
                <w:bCs/>
                <w:color w:val="000000"/>
                <w:kern w:val="0"/>
                <w:sz w:val="21"/>
                <w:szCs w:val="21"/>
                <w14:ligatures w14:val="none"/>
              </w:rPr>
              <w:t>Judge:</w:t>
            </w:r>
            <w:r w:rsidRPr="00D56CE2">
              <w:rPr>
                <w:rFonts w:ascii="Arial" w:eastAsia="Times New Roman" w:hAnsi="Arial" w:cs="Arial"/>
                <w:color w:val="000000"/>
                <w:kern w:val="0"/>
                <w:sz w:val="21"/>
                <w:szCs w:val="21"/>
                <w14:ligatures w14:val="none"/>
              </w:rPr>
              <w:t> Thapar</w:t>
            </w:r>
          </w:p>
          <w:p w14:paraId="5A76494A" w14:textId="77777777" w:rsidR="00D56CE2" w:rsidRPr="00D56CE2" w:rsidRDefault="00D56CE2" w:rsidP="00D56CE2">
            <w:pPr>
              <w:rPr>
                <w:rFonts w:ascii="Arial" w:eastAsia="Times New Roman" w:hAnsi="Arial" w:cs="Arial"/>
                <w:color w:val="000000"/>
                <w:kern w:val="0"/>
                <w:sz w:val="21"/>
                <w:szCs w:val="21"/>
                <w14:ligatures w14:val="none"/>
              </w:rPr>
            </w:pPr>
            <w:r w:rsidRPr="00D56CE2">
              <w:rPr>
                <w:rFonts w:ascii="Arial" w:eastAsia="Times New Roman" w:hAnsi="Arial" w:cs="Arial"/>
                <w:b/>
                <w:bCs/>
                <w:color w:val="000000"/>
                <w:kern w:val="0"/>
                <w:sz w:val="21"/>
                <w:szCs w:val="21"/>
                <w14:ligatures w14:val="none"/>
              </w:rPr>
              <w:t>Areas of Law:</w:t>
            </w:r>
            <w:r w:rsidRPr="00D56CE2">
              <w:rPr>
                <w:rFonts w:ascii="Arial" w:eastAsia="Times New Roman" w:hAnsi="Arial" w:cs="Arial"/>
                <w:color w:val="000000"/>
                <w:kern w:val="0"/>
                <w:sz w:val="21"/>
                <w:szCs w:val="21"/>
                <w14:ligatures w14:val="none"/>
              </w:rPr>
              <w:t> Civil Rights, Constitutional Law, Criminal Law</w:t>
            </w:r>
          </w:p>
        </w:tc>
      </w:tr>
      <w:tr w:rsidR="00D56CE2" w:rsidRPr="00D56CE2" w14:paraId="0E1087E2" w14:textId="77777777" w:rsidTr="00D56CE2">
        <w:tc>
          <w:tcPr>
            <w:tcW w:w="0" w:type="auto"/>
            <w:shd w:val="clear" w:color="auto" w:fill="FFFFFF"/>
            <w:tcMar>
              <w:top w:w="225" w:type="dxa"/>
              <w:left w:w="0" w:type="dxa"/>
              <w:bottom w:w="225" w:type="dxa"/>
              <w:right w:w="0" w:type="dxa"/>
            </w:tcMar>
            <w:vAlign w:val="center"/>
            <w:hideMark/>
          </w:tcPr>
          <w:p w14:paraId="56FEF52C" w14:textId="77777777" w:rsidR="00D56CE2" w:rsidRPr="00D56CE2" w:rsidRDefault="00D56CE2" w:rsidP="00D56CE2">
            <w:pPr>
              <w:rPr>
                <w:rFonts w:ascii="Arial" w:eastAsia="Times New Roman" w:hAnsi="Arial" w:cs="Arial"/>
                <w:color w:val="000000"/>
                <w:kern w:val="0"/>
                <w:sz w:val="24"/>
                <w:szCs w:val="24"/>
                <w14:ligatures w14:val="none"/>
              </w:rPr>
            </w:pPr>
            <w:r w:rsidRPr="00D56CE2">
              <w:rPr>
                <w:rFonts w:ascii="Arial" w:eastAsia="Times New Roman" w:hAnsi="Arial" w:cs="Arial"/>
                <w:color w:val="000000"/>
                <w:kern w:val="0"/>
                <w:sz w:val="24"/>
                <w:szCs w:val="24"/>
                <w14:ligatures w14:val="none"/>
              </w:rPr>
              <w:t xml:space="preserve">A man walked into Walgreens wearing clothes with white stains, placed a pack of gum on the counter, asked for cigarettes, then pulled out an apparent handgun. The man fled with the money and the cigarettes, leaving the gum. Police found Jacobs’s fingerprint on the gum and got an arrest warrant. Jacobs learned of the warrant and voluntarily went to the police station. Jacobs met with Detective Agee, who read him his Miranda rights. Showing Jacobs pictures from the Walgreens robbery and other robberies, Agee noted that the stains on the robber’s clothes resembled stains on Jacobs’s jacket. Jacobs denied involvement in the robberies. Agee highlighted the strength of the fingerprint evidence and said that he would get a warrant to search Jacobs’s dad’s house, where Jacobs was living, and Jacobs’s car. Agee said that Jacobs would likely face a severe </w:t>
            </w:r>
            <w:r w:rsidRPr="00D56CE2">
              <w:rPr>
                <w:rFonts w:ascii="Arial" w:eastAsia="Times New Roman" w:hAnsi="Arial" w:cs="Arial"/>
                <w:color w:val="000000"/>
                <w:kern w:val="0"/>
                <w:sz w:val="24"/>
                <w:szCs w:val="24"/>
                <w14:ligatures w14:val="none"/>
              </w:rPr>
              <w:lastRenderedPageBreak/>
              <w:t>sentence but things might be different if Jacobs changed his story. Jacobs then said: “The weapons—them is gone.” Agee gave Jacobs a phone to make calls and offered food and drink. After a break, Jacobs said he “f—ed up bad” because he was “broke” and needed to pay child support. He made statements about the gun and helped police retrieve the clothes from his girlfriend’s house. The interview lasted less than two hours.</w:t>
            </w:r>
            <w:r w:rsidRPr="00D56CE2">
              <w:rPr>
                <w:rFonts w:ascii="Arial" w:eastAsia="Times New Roman" w:hAnsi="Arial" w:cs="Arial"/>
                <w:color w:val="000000"/>
                <w:kern w:val="0"/>
                <w:sz w:val="24"/>
                <w:szCs w:val="24"/>
                <w14:ligatures w14:val="none"/>
              </w:rPr>
              <w:br/>
            </w:r>
            <w:r w:rsidRPr="00D56CE2">
              <w:rPr>
                <w:rFonts w:ascii="Arial" w:eastAsia="Times New Roman" w:hAnsi="Arial" w:cs="Arial"/>
                <w:color w:val="000000"/>
                <w:kern w:val="0"/>
                <w:sz w:val="24"/>
                <w:szCs w:val="24"/>
                <w14:ligatures w14:val="none"/>
              </w:rPr>
              <w:br/>
              <w:t>The district court granted Jacobs’s suppression motion, concluding that Agee used impermissibly coercive tactics. On interlocutory appeal, the Sixth Circuit reversed. Jacobs’s statements were voluntary.</w:t>
            </w:r>
          </w:p>
        </w:tc>
      </w:tr>
    </w:tbl>
    <w:p w14:paraId="7AC6F60F" w14:textId="77777777" w:rsidR="00434D18" w:rsidRDefault="00434D18"/>
    <w:p w14:paraId="5B3BB6D1" w14:textId="77777777" w:rsidR="00D56CE2" w:rsidRDefault="00D56CE2"/>
    <w:p w14:paraId="0C6158A7" w14:textId="77777777" w:rsidR="00D56CE2" w:rsidRDefault="00D56CE2"/>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CB40F3" w:rsidRPr="00CB40F3" w14:paraId="4E42674E" w14:textId="77777777" w:rsidTr="00CB40F3">
        <w:tc>
          <w:tcPr>
            <w:tcW w:w="0" w:type="auto"/>
            <w:shd w:val="clear" w:color="auto" w:fill="FFFFFF"/>
            <w:tcMar>
              <w:top w:w="450" w:type="dxa"/>
              <w:left w:w="0" w:type="dxa"/>
              <w:bottom w:w="0" w:type="dxa"/>
              <w:right w:w="0" w:type="dxa"/>
            </w:tcMar>
            <w:vAlign w:val="center"/>
            <w:hideMark/>
          </w:tcPr>
          <w:bookmarkStart w:id="2" w:name="summary_194243"/>
          <w:p w14:paraId="7ED50C36" w14:textId="77777777" w:rsidR="00CB40F3" w:rsidRPr="00CB40F3" w:rsidRDefault="00CB40F3" w:rsidP="00CB40F3">
            <w:pPr>
              <w:rPr>
                <w:rFonts w:ascii="Arial" w:eastAsia="Times New Roman" w:hAnsi="Arial" w:cs="Arial"/>
                <w:color w:val="000000"/>
                <w:kern w:val="0"/>
                <w:sz w:val="24"/>
                <w:szCs w:val="24"/>
                <w14:ligatures w14:val="none"/>
              </w:rPr>
            </w:pPr>
            <w:r w:rsidRPr="00CB40F3">
              <w:rPr>
                <w:rFonts w:ascii="Arial" w:eastAsia="Times New Roman" w:hAnsi="Arial" w:cs="Arial"/>
                <w:color w:val="000000"/>
                <w:kern w:val="0"/>
                <w:sz w:val="24"/>
                <w:szCs w:val="24"/>
                <w14:ligatures w14:val="none"/>
              </w:rPr>
              <w:fldChar w:fldCharType="begin"/>
            </w:r>
            <w:r w:rsidRPr="00CB40F3">
              <w:rPr>
                <w:rFonts w:ascii="Arial" w:eastAsia="Times New Roman" w:hAnsi="Arial" w:cs="Arial"/>
                <w:color w:val="000000"/>
                <w:kern w:val="0"/>
                <w:sz w:val="24"/>
                <w:szCs w:val="24"/>
                <w14:ligatures w14:val="none"/>
              </w:rPr>
              <w:instrText xml:space="preserve"> HYPERLINK "https://law.justia.com/cases/federal/appellate-courts/ca7/22-1925/22-1925-2023-03-24.html?utm_source=summary-newsletters&amp;utm_medium=email&amp;utm_campaign=2023-03-31-criminal-law-&amp;utm_content=text-case-title-14" \t "_blank" </w:instrText>
            </w:r>
            <w:r w:rsidRPr="00CB40F3">
              <w:rPr>
                <w:rFonts w:ascii="Arial" w:eastAsia="Times New Roman" w:hAnsi="Arial" w:cs="Arial"/>
                <w:color w:val="000000"/>
                <w:kern w:val="0"/>
                <w:sz w:val="24"/>
                <w:szCs w:val="24"/>
                <w14:ligatures w14:val="none"/>
              </w:rPr>
              <w:fldChar w:fldCharType="separate"/>
            </w:r>
            <w:r w:rsidRPr="00CB40F3">
              <w:rPr>
                <w:rFonts w:ascii="Arial" w:eastAsia="Times New Roman" w:hAnsi="Arial" w:cs="Arial"/>
                <w:b/>
                <w:bCs/>
                <w:color w:val="06357A"/>
                <w:kern w:val="0"/>
                <w:sz w:val="24"/>
                <w:szCs w:val="24"/>
                <w14:ligatures w14:val="none"/>
              </w:rPr>
              <w:t>United States v. Taylor</w:t>
            </w:r>
            <w:r w:rsidRPr="00CB40F3">
              <w:rPr>
                <w:rFonts w:ascii="Arial" w:eastAsia="Times New Roman" w:hAnsi="Arial" w:cs="Arial"/>
                <w:color w:val="000000"/>
                <w:kern w:val="0"/>
                <w:sz w:val="24"/>
                <w:szCs w:val="24"/>
                <w14:ligatures w14:val="none"/>
              </w:rPr>
              <w:fldChar w:fldCharType="end"/>
            </w:r>
            <w:bookmarkEnd w:id="2"/>
          </w:p>
        </w:tc>
      </w:tr>
      <w:tr w:rsidR="00CB40F3" w:rsidRPr="00CB40F3" w14:paraId="7644E7B8" w14:textId="77777777" w:rsidTr="00CB40F3">
        <w:tc>
          <w:tcPr>
            <w:tcW w:w="0" w:type="auto"/>
            <w:shd w:val="clear" w:color="auto" w:fill="FFFFFF"/>
            <w:vAlign w:val="center"/>
            <w:hideMark/>
          </w:tcPr>
          <w:p w14:paraId="6482068E" w14:textId="77777777" w:rsidR="00CB40F3" w:rsidRPr="00CB40F3" w:rsidRDefault="00CB40F3" w:rsidP="00CB40F3">
            <w:pPr>
              <w:rPr>
                <w:rFonts w:ascii="Arial" w:eastAsia="Times New Roman" w:hAnsi="Arial" w:cs="Arial"/>
                <w:color w:val="000000"/>
                <w:kern w:val="0"/>
                <w:sz w:val="21"/>
                <w:szCs w:val="21"/>
                <w14:ligatures w14:val="none"/>
              </w:rPr>
            </w:pPr>
            <w:r w:rsidRPr="00CB40F3">
              <w:rPr>
                <w:rFonts w:ascii="Arial" w:eastAsia="Times New Roman" w:hAnsi="Arial" w:cs="Arial"/>
                <w:b/>
                <w:bCs/>
                <w:color w:val="000000"/>
                <w:kern w:val="0"/>
                <w:sz w:val="21"/>
                <w:szCs w:val="21"/>
                <w14:ligatures w14:val="none"/>
              </w:rPr>
              <w:t>Court:</w:t>
            </w:r>
            <w:r w:rsidRPr="00CB40F3">
              <w:rPr>
                <w:rFonts w:ascii="Arial" w:eastAsia="Times New Roman" w:hAnsi="Arial" w:cs="Arial"/>
                <w:color w:val="000000"/>
                <w:kern w:val="0"/>
                <w:sz w:val="21"/>
                <w:szCs w:val="21"/>
                <w14:ligatures w14:val="none"/>
              </w:rPr>
              <w:t> US Court of Appeals for the Seventh Circuit</w:t>
            </w:r>
          </w:p>
          <w:p w14:paraId="6B427303" w14:textId="77777777" w:rsidR="00CB40F3" w:rsidRPr="00CB40F3" w:rsidRDefault="00CB40F3" w:rsidP="00CB40F3">
            <w:pPr>
              <w:rPr>
                <w:rFonts w:ascii="Arial" w:eastAsia="Times New Roman" w:hAnsi="Arial" w:cs="Arial"/>
                <w:color w:val="000000"/>
                <w:kern w:val="0"/>
                <w:sz w:val="21"/>
                <w:szCs w:val="21"/>
                <w14:ligatures w14:val="none"/>
              </w:rPr>
            </w:pPr>
            <w:r w:rsidRPr="00CB40F3">
              <w:rPr>
                <w:rFonts w:ascii="Arial" w:eastAsia="Times New Roman" w:hAnsi="Arial" w:cs="Arial"/>
                <w:b/>
                <w:bCs/>
                <w:color w:val="000000"/>
                <w:kern w:val="0"/>
                <w:sz w:val="21"/>
                <w:szCs w:val="21"/>
                <w14:ligatures w14:val="none"/>
              </w:rPr>
              <w:t>Docket:</w:t>
            </w:r>
            <w:r w:rsidRPr="00CB40F3">
              <w:rPr>
                <w:rFonts w:ascii="Arial" w:eastAsia="Times New Roman" w:hAnsi="Arial" w:cs="Arial"/>
                <w:color w:val="000000"/>
                <w:kern w:val="0"/>
                <w:sz w:val="21"/>
                <w:szCs w:val="21"/>
                <w14:ligatures w14:val="none"/>
              </w:rPr>
              <w:t> 22-1925</w:t>
            </w:r>
          </w:p>
          <w:p w14:paraId="6F433CD6" w14:textId="77777777" w:rsidR="00CB40F3" w:rsidRPr="00CB40F3" w:rsidRDefault="00CB40F3" w:rsidP="00CB40F3">
            <w:pPr>
              <w:rPr>
                <w:rFonts w:ascii="Arial" w:eastAsia="Times New Roman" w:hAnsi="Arial" w:cs="Arial"/>
                <w:color w:val="000000"/>
                <w:kern w:val="0"/>
                <w:sz w:val="21"/>
                <w:szCs w:val="21"/>
                <w14:ligatures w14:val="none"/>
              </w:rPr>
            </w:pPr>
            <w:r w:rsidRPr="00CB40F3">
              <w:rPr>
                <w:rFonts w:ascii="Arial" w:eastAsia="Times New Roman" w:hAnsi="Arial" w:cs="Arial"/>
                <w:b/>
                <w:bCs/>
                <w:color w:val="000000"/>
                <w:kern w:val="0"/>
                <w:sz w:val="21"/>
                <w:szCs w:val="21"/>
                <w14:ligatures w14:val="none"/>
              </w:rPr>
              <w:t>Opinion Date:</w:t>
            </w:r>
            <w:r w:rsidRPr="00CB40F3">
              <w:rPr>
                <w:rFonts w:ascii="Arial" w:eastAsia="Times New Roman" w:hAnsi="Arial" w:cs="Arial"/>
                <w:color w:val="000000"/>
                <w:kern w:val="0"/>
                <w:sz w:val="21"/>
                <w:szCs w:val="21"/>
                <w14:ligatures w14:val="none"/>
              </w:rPr>
              <w:t> March 24, 2023</w:t>
            </w:r>
          </w:p>
          <w:p w14:paraId="0181DC9A" w14:textId="77777777" w:rsidR="00CB40F3" w:rsidRPr="00CB40F3" w:rsidRDefault="00CB40F3" w:rsidP="00CB40F3">
            <w:pPr>
              <w:rPr>
                <w:rFonts w:ascii="Arial" w:eastAsia="Times New Roman" w:hAnsi="Arial" w:cs="Arial"/>
                <w:color w:val="000000"/>
                <w:kern w:val="0"/>
                <w:sz w:val="21"/>
                <w:szCs w:val="21"/>
                <w14:ligatures w14:val="none"/>
              </w:rPr>
            </w:pPr>
            <w:r w:rsidRPr="00CB40F3">
              <w:rPr>
                <w:rFonts w:ascii="Arial" w:eastAsia="Times New Roman" w:hAnsi="Arial" w:cs="Arial"/>
                <w:b/>
                <w:bCs/>
                <w:color w:val="000000"/>
                <w:kern w:val="0"/>
                <w:sz w:val="21"/>
                <w:szCs w:val="21"/>
                <w14:ligatures w14:val="none"/>
              </w:rPr>
              <w:t>Judge:</w:t>
            </w:r>
            <w:r w:rsidRPr="00CB40F3">
              <w:rPr>
                <w:rFonts w:ascii="Arial" w:eastAsia="Times New Roman" w:hAnsi="Arial" w:cs="Arial"/>
                <w:color w:val="000000"/>
                <w:kern w:val="0"/>
                <w:sz w:val="21"/>
                <w:szCs w:val="21"/>
                <w14:ligatures w14:val="none"/>
              </w:rPr>
              <w:t> HAMILTON</w:t>
            </w:r>
          </w:p>
          <w:p w14:paraId="6DF8A0FC" w14:textId="77777777" w:rsidR="00CB40F3" w:rsidRPr="00CB40F3" w:rsidRDefault="00CB40F3" w:rsidP="00CB40F3">
            <w:pPr>
              <w:rPr>
                <w:rFonts w:ascii="Arial" w:eastAsia="Times New Roman" w:hAnsi="Arial" w:cs="Arial"/>
                <w:color w:val="000000"/>
                <w:kern w:val="0"/>
                <w:sz w:val="21"/>
                <w:szCs w:val="21"/>
                <w14:ligatures w14:val="none"/>
              </w:rPr>
            </w:pPr>
            <w:r w:rsidRPr="00CB40F3">
              <w:rPr>
                <w:rFonts w:ascii="Arial" w:eastAsia="Times New Roman" w:hAnsi="Arial" w:cs="Arial"/>
                <w:b/>
                <w:bCs/>
                <w:color w:val="000000"/>
                <w:kern w:val="0"/>
                <w:sz w:val="21"/>
                <w:szCs w:val="21"/>
                <w14:ligatures w14:val="none"/>
              </w:rPr>
              <w:t>Areas of Law:</w:t>
            </w:r>
            <w:r w:rsidRPr="00CB40F3">
              <w:rPr>
                <w:rFonts w:ascii="Arial" w:eastAsia="Times New Roman" w:hAnsi="Arial" w:cs="Arial"/>
                <w:color w:val="000000"/>
                <w:kern w:val="0"/>
                <w:sz w:val="21"/>
                <w:szCs w:val="21"/>
                <w14:ligatures w14:val="none"/>
              </w:rPr>
              <w:t> Constitutional Law, Criminal Law</w:t>
            </w:r>
          </w:p>
        </w:tc>
      </w:tr>
      <w:tr w:rsidR="00CB40F3" w:rsidRPr="00CB40F3" w14:paraId="109EB6FE" w14:textId="77777777" w:rsidTr="00CB40F3">
        <w:tc>
          <w:tcPr>
            <w:tcW w:w="0" w:type="auto"/>
            <w:shd w:val="clear" w:color="auto" w:fill="FFFFFF"/>
            <w:tcMar>
              <w:top w:w="225" w:type="dxa"/>
              <w:left w:w="0" w:type="dxa"/>
              <w:bottom w:w="225" w:type="dxa"/>
              <w:right w:w="0" w:type="dxa"/>
            </w:tcMar>
            <w:vAlign w:val="center"/>
            <w:hideMark/>
          </w:tcPr>
          <w:p w14:paraId="4C7A731B" w14:textId="77777777" w:rsidR="00CB40F3" w:rsidRPr="00CB40F3" w:rsidRDefault="00CB40F3" w:rsidP="00CB40F3">
            <w:pPr>
              <w:rPr>
                <w:rFonts w:ascii="Arial" w:eastAsia="Times New Roman" w:hAnsi="Arial" w:cs="Arial"/>
                <w:color w:val="000000"/>
                <w:kern w:val="0"/>
                <w:sz w:val="24"/>
                <w:szCs w:val="24"/>
                <w14:ligatures w14:val="none"/>
              </w:rPr>
            </w:pPr>
            <w:r w:rsidRPr="00CB40F3">
              <w:rPr>
                <w:rFonts w:ascii="Arial" w:eastAsia="Times New Roman" w:hAnsi="Arial" w:cs="Arial"/>
                <w:color w:val="000000"/>
                <w:kern w:val="0"/>
                <w:sz w:val="24"/>
                <w:szCs w:val="24"/>
                <w14:ligatures w14:val="none"/>
              </w:rPr>
              <w:t xml:space="preserve">The primary source of incriminating information against Taylor was “Doe,” a woman with whom Taylor and his wife were intimately involved. Law enforcement presented a warrant application to an Indiana judge, seeking to search Taylor’s residence for evidence of child pornography and bestiality. The affidavit did not disclose that two officers involved in the investigation had been competing with Taylor for Doe’s affection. The judge signed a typed warrant that authorized the search of Taylor’s residence for evidence of child pornography; it did not mention bestiality. At a </w:t>
            </w:r>
            <w:proofErr w:type="gramStart"/>
            <w:r w:rsidRPr="00CB40F3">
              <w:rPr>
                <w:rFonts w:ascii="Arial" w:eastAsia="Times New Roman" w:hAnsi="Arial" w:cs="Arial"/>
                <w:color w:val="000000"/>
                <w:kern w:val="0"/>
                <w:sz w:val="24"/>
                <w:szCs w:val="24"/>
                <w14:ligatures w14:val="none"/>
              </w:rPr>
              <w:t>time</w:t>
            </w:r>
            <w:proofErr w:type="gramEnd"/>
            <w:r w:rsidRPr="00CB40F3">
              <w:rPr>
                <w:rFonts w:ascii="Arial" w:eastAsia="Times New Roman" w:hAnsi="Arial" w:cs="Arial"/>
                <w:color w:val="000000"/>
                <w:kern w:val="0"/>
                <w:sz w:val="24"/>
                <w:szCs w:val="24"/>
                <w14:ligatures w14:val="none"/>
              </w:rPr>
              <w:t xml:space="preserve"> unknown and under unknown circumstances, the lead detective apparently made handwritten alterations, adding “bestiality” to the warrant’s scope. When officers executed the altered warrant, they found substantial evidence that Taylor was producing and distributing child pornography. They found no evidence relating to bestiality. Taylor's motion to suppress and request for a Franks hearing were denied. Taylor pled guilty and was sentenced to 324 months.</w:t>
            </w:r>
            <w:r w:rsidRPr="00CB40F3">
              <w:rPr>
                <w:rFonts w:ascii="Arial" w:eastAsia="Times New Roman" w:hAnsi="Arial" w:cs="Arial"/>
                <w:color w:val="000000"/>
                <w:kern w:val="0"/>
                <w:sz w:val="24"/>
                <w:szCs w:val="24"/>
                <w14:ligatures w14:val="none"/>
              </w:rPr>
              <w:br/>
            </w:r>
            <w:r w:rsidRPr="00CB40F3">
              <w:rPr>
                <w:rFonts w:ascii="Arial" w:eastAsia="Times New Roman" w:hAnsi="Arial" w:cs="Arial"/>
                <w:color w:val="000000"/>
                <w:kern w:val="0"/>
                <w:sz w:val="24"/>
                <w:szCs w:val="24"/>
                <w14:ligatures w14:val="none"/>
              </w:rPr>
              <w:br/>
              <w:t>The Seventh Circuit vacated. An evidentiary hearing is needed to determine whether the judge approved the alterations before the warrant's execution. Questions surrounding those alterations are relevant to the good-faith exception to the exclusionary rule so the hearing must encompass false statements and material omissions in the affidavit and law enforcement’s subjective good faith in seeking the warrant. The affidavit did not support probable cause to search for evidence of child pornography but did support probable cause to search for evidence of crimes of bestiality.</w:t>
            </w:r>
          </w:p>
        </w:tc>
      </w:tr>
    </w:tbl>
    <w:p w14:paraId="4E1F9A41" w14:textId="77777777" w:rsidR="00D56CE2" w:rsidRDefault="00D56CE2"/>
    <w:p w14:paraId="07AFBE20" w14:textId="77777777" w:rsidR="00CB40F3" w:rsidRDefault="00CB40F3"/>
    <w:p w14:paraId="13CA2525" w14:textId="77777777" w:rsidR="00CB40F3" w:rsidRDefault="00CB40F3"/>
    <w:p w14:paraId="65433CF4" w14:textId="77777777" w:rsidR="000E0F44" w:rsidRDefault="000E0F44" w:rsidP="000E0F44">
      <w:r>
        <w:t>United States v. Jonathan Rooney</w:t>
      </w:r>
    </w:p>
    <w:p w14:paraId="5F863714" w14:textId="77777777" w:rsidR="000E0F44" w:rsidRDefault="000E0F44" w:rsidP="000E0F44"/>
    <w:p w14:paraId="3AFBDD52" w14:textId="77777777" w:rsidR="000E0F44" w:rsidRDefault="000E0F44" w:rsidP="000E0F44">
      <w:r>
        <w:t>Court: US Court of Appeals for the Eighth Circuit</w:t>
      </w:r>
    </w:p>
    <w:p w14:paraId="6B667192" w14:textId="77777777" w:rsidR="000E0F44" w:rsidRDefault="000E0F44" w:rsidP="000E0F44"/>
    <w:p w14:paraId="541FE5A0" w14:textId="77777777" w:rsidR="000E0F44" w:rsidRDefault="000E0F44" w:rsidP="000E0F44">
      <w:r>
        <w:t>Docket: 22-1647</w:t>
      </w:r>
    </w:p>
    <w:p w14:paraId="66B90111" w14:textId="77777777" w:rsidR="000E0F44" w:rsidRDefault="000E0F44" w:rsidP="000E0F44"/>
    <w:p w14:paraId="626AD020" w14:textId="77777777" w:rsidR="000E0F44" w:rsidRDefault="000E0F44" w:rsidP="000E0F44">
      <w:r>
        <w:t>Opinion Date: March 28, 2023</w:t>
      </w:r>
    </w:p>
    <w:p w14:paraId="36BF4B7E" w14:textId="77777777" w:rsidR="000E0F44" w:rsidRDefault="000E0F44" w:rsidP="000E0F44"/>
    <w:p w14:paraId="63C001E1" w14:textId="77777777" w:rsidR="000E0F44" w:rsidRDefault="000E0F44" w:rsidP="000E0F44">
      <w:r>
        <w:t>Judge: ERICKSON</w:t>
      </w:r>
    </w:p>
    <w:p w14:paraId="5814FE29" w14:textId="77777777" w:rsidR="000E0F44" w:rsidRDefault="000E0F44" w:rsidP="000E0F44"/>
    <w:p w14:paraId="38675A8A" w14:textId="77777777" w:rsidR="000E0F44" w:rsidRDefault="000E0F44" w:rsidP="000E0F44">
      <w:r>
        <w:t>Areas of Law: Constitutional Law, Criminal Law</w:t>
      </w:r>
    </w:p>
    <w:p w14:paraId="70092C55" w14:textId="77777777" w:rsidR="000E0F44" w:rsidRDefault="000E0F44" w:rsidP="000E0F44"/>
    <w:p w14:paraId="2AF6AEAB" w14:textId="77777777" w:rsidR="000E0F44" w:rsidRDefault="000E0F44" w:rsidP="000E0F44">
      <w:r>
        <w:t>Defendant was charged with second-degree murder and tampering with evidence. A jury acquitted Defendant of the murder charge but found him guilty of voluntary manslaughter, a lesser included offense, and tampering with evidence. The district court sentenced Defendant to a total term of 300 months imprisonment. Defendant raised three issues on appeal: (1) the denial of his motion to suppress custodial statements; (2) the sufficiency of the evidence on the manslaughter and tampering counts; and (3) the procedural and substantive reasonableness of his sentence.</w:t>
      </w:r>
    </w:p>
    <w:p w14:paraId="54979E47" w14:textId="77777777" w:rsidR="000E0F44" w:rsidRDefault="000E0F44" w:rsidP="000E0F44">
      <w:r>
        <w:t xml:space="preserve"> </w:t>
      </w:r>
    </w:p>
    <w:p w14:paraId="0B0939A5" w14:textId="579FE08F" w:rsidR="00CB40F3" w:rsidRDefault="000E0F44" w:rsidP="000E0F44">
      <w:r>
        <w:t>The Eighth Circuit affirmed. The court concluded that Defendant’s waiver of his Miranda rights was voluntary. Considering all the circumstances surrounding the ongoing search for the victim and conditions in which Defendant was held and questioned by law enforcement, the district court did not err in denying Defendant’s motion to suppress. Further, the court explained that a close review of the record establishes that a jury could have reasonably concluded that Defendant was guilty of manslaughter. The jury heard evidence that Defendant and the victim were the only two adults present at the cabin; that the victim’s blood was found both inside and outside the cabin; that Defendant had scratch marks on his face and upper body; and that Rooney and the victim were fighting in the time leading up to her death. There was sufficient evidence for the jury to find that Defendant put the victim’s body in the fire, which destroyed any evidence of the cause of death. Finally, the court found that Defendant’s claim that his sentence was substantively unreasonable is unavailing.</w:t>
      </w:r>
    </w:p>
    <w:p w14:paraId="5C1C405C" w14:textId="77777777" w:rsidR="00CE2554" w:rsidRDefault="00CE2554" w:rsidP="000E0F44"/>
    <w:p w14:paraId="55E2CD52" w14:textId="77777777" w:rsidR="00CE2554" w:rsidRDefault="00CE2554" w:rsidP="000E0F44"/>
    <w:p w14:paraId="0365CCD6" w14:textId="77777777" w:rsidR="00CE2554" w:rsidRDefault="00CE2554" w:rsidP="000E0F44"/>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84127C" w:rsidRPr="0084127C" w14:paraId="75471997" w14:textId="77777777" w:rsidTr="0084127C">
        <w:tc>
          <w:tcPr>
            <w:tcW w:w="0" w:type="auto"/>
            <w:shd w:val="clear" w:color="auto" w:fill="FFFFFF"/>
            <w:tcMar>
              <w:top w:w="450" w:type="dxa"/>
              <w:left w:w="0" w:type="dxa"/>
              <w:bottom w:w="0" w:type="dxa"/>
              <w:right w:w="0" w:type="dxa"/>
            </w:tcMar>
            <w:vAlign w:val="center"/>
            <w:hideMark/>
          </w:tcPr>
          <w:bookmarkStart w:id="3" w:name="summary_194411"/>
          <w:p w14:paraId="251A193E" w14:textId="77777777" w:rsidR="0084127C" w:rsidRPr="0084127C" w:rsidRDefault="0084127C" w:rsidP="0084127C">
            <w:pPr>
              <w:rPr>
                <w:rFonts w:ascii="Arial" w:eastAsia="Times New Roman" w:hAnsi="Arial" w:cs="Arial"/>
                <w:color w:val="000000"/>
                <w:kern w:val="0"/>
                <w:sz w:val="24"/>
                <w:szCs w:val="24"/>
                <w14:ligatures w14:val="none"/>
              </w:rPr>
            </w:pPr>
            <w:r w:rsidRPr="0084127C">
              <w:rPr>
                <w:rFonts w:ascii="Arial" w:eastAsia="Times New Roman" w:hAnsi="Arial" w:cs="Arial"/>
                <w:color w:val="000000"/>
                <w:kern w:val="0"/>
                <w:sz w:val="24"/>
                <w:szCs w:val="24"/>
                <w14:ligatures w14:val="none"/>
              </w:rPr>
              <w:fldChar w:fldCharType="begin"/>
            </w:r>
            <w:r w:rsidRPr="0084127C">
              <w:rPr>
                <w:rFonts w:ascii="Arial" w:eastAsia="Times New Roman" w:hAnsi="Arial" w:cs="Arial"/>
                <w:color w:val="000000"/>
                <w:kern w:val="0"/>
                <w:sz w:val="24"/>
                <w:szCs w:val="24"/>
                <w14:ligatures w14:val="none"/>
              </w:rPr>
              <w:instrText xml:space="preserve"> HYPERLINK "https://law.justia.com/cases/federal/appellate-courts/ca4/22-1339/22-1339-2023-03-29.html?utm_source=summary-newsletters&amp;utm_medium=email&amp;utm_campaign=2023-03-31-civil-rights-&amp;utm_content=text-case-title-3" \t "_blank" </w:instrText>
            </w:r>
            <w:r w:rsidRPr="0084127C">
              <w:rPr>
                <w:rFonts w:ascii="Arial" w:eastAsia="Times New Roman" w:hAnsi="Arial" w:cs="Arial"/>
                <w:color w:val="000000"/>
                <w:kern w:val="0"/>
                <w:sz w:val="24"/>
                <w:szCs w:val="24"/>
                <w14:ligatures w14:val="none"/>
              </w:rPr>
              <w:fldChar w:fldCharType="separate"/>
            </w:r>
            <w:r w:rsidRPr="0084127C">
              <w:rPr>
                <w:rFonts w:ascii="Arial" w:eastAsia="Times New Roman" w:hAnsi="Arial" w:cs="Arial"/>
                <w:b/>
                <w:bCs/>
                <w:color w:val="06357A"/>
                <w:kern w:val="0"/>
                <w:sz w:val="24"/>
                <w:szCs w:val="24"/>
                <w14:ligatures w14:val="none"/>
              </w:rPr>
              <w:t xml:space="preserve">Nathaniel Hicks v. Gerald </w:t>
            </w:r>
            <w:proofErr w:type="spellStart"/>
            <w:r w:rsidRPr="0084127C">
              <w:rPr>
                <w:rFonts w:ascii="Arial" w:eastAsia="Times New Roman" w:hAnsi="Arial" w:cs="Arial"/>
                <w:b/>
                <w:bCs/>
                <w:color w:val="06357A"/>
                <w:kern w:val="0"/>
                <w:sz w:val="24"/>
                <w:szCs w:val="24"/>
                <w14:ligatures w14:val="none"/>
              </w:rPr>
              <w:t>Ferreyra</w:t>
            </w:r>
            <w:proofErr w:type="spellEnd"/>
            <w:r w:rsidRPr="0084127C">
              <w:rPr>
                <w:rFonts w:ascii="Arial" w:eastAsia="Times New Roman" w:hAnsi="Arial" w:cs="Arial"/>
                <w:color w:val="000000"/>
                <w:kern w:val="0"/>
                <w:sz w:val="24"/>
                <w:szCs w:val="24"/>
                <w14:ligatures w14:val="none"/>
              </w:rPr>
              <w:fldChar w:fldCharType="end"/>
            </w:r>
            <w:bookmarkEnd w:id="3"/>
          </w:p>
        </w:tc>
      </w:tr>
      <w:tr w:rsidR="0084127C" w:rsidRPr="0084127C" w14:paraId="7727534D" w14:textId="77777777" w:rsidTr="0084127C">
        <w:tc>
          <w:tcPr>
            <w:tcW w:w="0" w:type="auto"/>
            <w:shd w:val="clear" w:color="auto" w:fill="FFFFFF"/>
            <w:vAlign w:val="center"/>
            <w:hideMark/>
          </w:tcPr>
          <w:p w14:paraId="43ADAD4B" w14:textId="77777777" w:rsidR="0084127C" w:rsidRPr="0084127C" w:rsidRDefault="0084127C" w:rsidP="0084127C">
            <w:pPr>
              <w:rPr>
                <w:rFonts w:ascii="Arial" w:eastAsia="Times New Roman" w:hAnsi="Arial" w:cs="Arial"/>
                <w:color w:val="000000"/>
                <w:kern w:val="0"/>
                <w:sz w:val="21"/>
                <w:szCs w:val="21"/>
                <w14:ligatures w14:val="none"/>
              </w:rPr>
            </w:pPr>
            <w:r w:rsidRPr="0084127C">
              <w:rPr>
                <w:rFonts w:ascii="Arial" w:eastAsia="Times New Roman" w:hAnsi="Arial" w:cs="Arial"/>
                <w:b/>
                <w:bCs/>
                <w:color w:val="000000"/>
                <w:kern w:val="0"/>
                <w:sz w:val="21"/>
                <w:szCs w:val="21"/>
                <w14:ligatures w14:val="none"/>
              </w:rPr>
              <w:t>Court:</w:t>
            </w:r>
            <w:r w:rsidRPr="0084127C">
              <w:rPr>
                <w:rFonts w:ascii="Arial" w:eastAsia="Times New Roman" w:hAnsi="Arial" w:cs="Arial"/>
                <w:color w:val="000000"/>
                <w:kern w:val="0"/>
                <w:sz w:val="21"/>
                <w:szCs w:val="21"/>
                <w14:ligatures w14:val="none"/>
              </w:rPr>
              <w:t> US Court of Appeals for the Fourth Circuit</w:t>
            </w:r>
          </w:p>
          <w:p w14:paraId="78DDDE66" w14:textId="77777777" w:rsidR="0084127C" w:rsidRPr="0084127C" w:rsidRDefault="0084127C" w:rsidP="0084127C">
            <w:pPr>
              <w:rPr>
                <w:rFonts w:ascii="Arial" w:eastAsia="Times New Roman" w:hAnsi="Arial" w:cs="Arial"/>
                <w:color w:val="000000"/>
                <w:kern w:val="0"/>
                <w:sz w:val="21"/>
                <w:szCs w:val="21"/>
                <w14:ligatures w14:val="none"/>
              </w:rPr>
            </w:pPr>
            <w:r w:rsidRPr="0084127C">
              <w:rPr>
                <w:rFonts w:ascii="Arial" w:eastAsia="Times New Roman" w:hAnsi="Arial" w:cs="Arial"/>
                <w:b/>
                <w:bCs/>
                <w:color w:val="000000"/>
                <w:kern w:val="0"/>
                <w:sz w:val="21"/>
                <w:szCs w:val="21"/>
                <w14:ligatures w14:val="none"/>
              </w:rPr>
              <w:t>Docket:</w:t>
            </w:r>
            <w:r w:rsidRPr="0084127C">
              <w:rPr>
                <w:rFonts w:ascii="Arial" w:eastAsia="Times New Roman" w:hAnsi="Arial" w:cs="Arial"/>
                <w:color w:val="000000"/>
                <w:kern w:val="0"/>
                <w:sz w:val="21"/>
                <w:szCs w:val="21"/>
                <w14:ligatures w14:val="none"/>
              </w:rPr>
              <w:t> 22-1339</w:t>
            </w:r>
          </w:p>
          <w:p w14:paraId="72A9EC2F" w14:textId="77777777" w:rsidR="0084127C" w:rsidRPr="0084127C" w:rsidRDefault="0084127C" w:rsidP="0084127C">
            <w:pPr>
              <w:rPr>
                <w:rFonts w:ascii="Arial" w:eastAsia="Times New Roman" w:hAnsi="Arial" w:cs="Arial"/>
                <w:color w:val="000000"/>
                <w:kern w:val="0"/>
                <w:sz w:val="21"/>
                <w:szCs w:val="21"/>
                <w14:ligatures w14:val="none"/>
              </w:rPr>
            </w:pPr>
            <w:r w:rsidRPr="0084127C">
              <w:rPr>
                <w:rFonts w:ascii="Arial" w:eastAsia="Times New Roman" w:hAnsi="Arial" w:cs="Arial"/>
                <w:b/>
                <w:bCs/>
                <w:color w:val="000000"/>
                <w:kern w:val="0"/>
                <w:sz w:val="21"/>
                <w:szCs w:val="21"/>
                <w14:ligatures w14:val="none"/>
              </w:rPr>
              <w:t>Opinion Date:</w:t>
            </w:r>
            <w:r w:rsidRPr="0084127C">
              <w:rPr>
                <w:rFonts w:ascii="Arial" w:eastAsia="Times New Roman" w:hAnsi="Arial" w:cs="Arial"/>
                <w:color w:val="000000"/>
                <w:kern w:val="0"/>
                <w:sz w:val="21"/>
                <w:szCs w:val="21"/>
                <w14:ligatures w14:val="none"/>
              </w:rPr>
              <w:t> March 29, 2023</w:t>
            </w:r>
          </w:p>
          <w:p w14:paraId="7BD6AE19" w14:textId="77777777" w:rsidR="0084127C" w:rsidRPr="0084127C" w:rsidRDefault="0084127C" w:rsidP="0084127C">
            <w:pPr>
              <w:rPr>
                <w:rFonts w:ascii="Arial" w:eastAsia="Times New Roman" w:hAnsi="Arial" w:cs="Arial"/>
                <w:color w:val="000000"/>
                <w:kern w:val="0"/>
                <w:sz w:val="21"/>
                <w:szCs w:val="21"/>
                <w14:ligatures w14:val="none"/>
              </w:rPr>
            </w:pPr>
            <w:r w:rsidRPr="0084127C">
              <w:rPr>
                <w:rFonts w:ascii="Arial" w:eastAsia="Times New Roman" w:hAnsi="Arial" w:cs="Arial"/>
                <w:b/>
                <w:bCs/>
                <w:color w:val="000000"/>
                <w:kern w:val="0"/>
                <w:sz w:val="21"/>
                <w:szCs w:val="21"/>
                <w14:ligatures w14:val="none"/>
              </w:rPr>
              <w:t>Judge:</w:t>
            </w:r>
            <w:r w:rsidRPr="0084127C">
              <w:rPr>
                <w:rFonts w:ascii="Arial" w:eastAsia="Times New Roman" w:hAnsi="Arial" w:cs="Arial"/>
                <w:color w:val="000000"/>
                <w:kern w:val="0"/>
                <w:sz w:val="21"/>
                <w:szCs w:val="21"/>
                <w14:ligatures w14:val="none"/>
              </w:rPr>
              <w:t> BARBARA MILANO KEENAN</w:t>
            </w:r>
          </w:p>
          <w:p w14:paraId="75E1EBFE" w14:textId="77777777" w:rsidR="0084127C" w:rsidRPr="0084127C" w:rsidRDefault="0084127C" w:rsidP="0084127C">
            <w:pPr>
              <w:rPr>
                <w:rFonts w:ascii="Arial" w:eastAsia="Times New Roman" w:hAnsi="Arial" w:cs="Arial"/>
                <w:color w:val="000000"/>
                <w:kern w:val="0"/>
                <w:sz w:val="21"/>
                <w:szCs w:val="21"/>
                <w14:ligatures w14:val="none"/>
              </w:rPr>
            </w:pPr>
            <w:r w:rsidRPr="0084127C">
              <w:rPr>
                <w:rFonts w:ascii="Arial" w:eastAsia="Times New Roman" w:hAnsi="Arial" w:cs="Arial"/>
                <w:b/>
                <w:bCs/>
                <w:color w:val="000000"/>
                <w:kern w:val="0"/>
                <w:sz w:val="21"/>
                <w:szCs w:val="21"/>
                <w14:ligatures w14:val="none"/>
              </w:rPr>
              <w:t>Areas of Law:</w:t>
            </w:r>
            <w:r w:rsidRPr="0084127C">
              <w:rPr>
                <w:rFonts w:ascii="Arial" w:eastAsia="Times New Roman" w:hAnsi="Arial" w:cs="Arial"/>
                <w:color w:val="000000"/>
                <w:kern w:val="0"/>
                <w:sz w:val="21"/>
                <w:szCs w:val="21"/>
                <w14:ligatures w14:val="none"/>
              </w:rPr>
              <w:t> Civil Rights, Constitutional Law, Government &amp; Administrative Law, Personal Injury</w:t>
            </w:r>
          </w:p>
        </w:tc>
      </w:tr>
      <w:tr w:rsidR="0084127C" w:rsidRPr="0084127C" w14:paraId="17B57EB9" w14:textId="77777777" w:rsidTr="0084127C">
        <w:tc>
          <w:tcPr>
            <w:tcW w:w="0" w:type="auto"/>
            <w:shd w:val="clear" w:color="auto" w:fill="FFFFFF"/>
            <w:tcMar>
              <w:top w:w="225" w:type="dxa"/>
              <w:left w:w="0" w:type="dxa"/>
              <w:bottom w:w="225" w:type="dxa"/>
              <w:right w:w="0" w:type="dxa"/>
            </w:tcMar>
            <w:vAlign w:val="center"/>
            <w:hideMark/>
          </w:tcPr>
          <w:p w14:paraId="3AB39DB2" w14:textId="77777777" w:rsidR="0084127C" w:rsidRPr="0084127C" w:rsidRDefault="0084127C" w:rsidP="0084127C">
            <w:pPr>
              <w:rPr>
                <w:rFonts w:ascii="Arial" w:eastAsia="Times New Roman" w:hAnsi="Arial" w:cs="Arial"/>
                <w:color w:val="000000"/>
                <w:kern w:val="0"/>
                <w:sz w:val="24"/>
                <w:szCs w:val="24"/>
                <w14:ligatures w14:val="none"/>
              </w:rPr>
            </w:pPr>
            <w:r w:rsidRPr="0084127C">
              <w:rPr>
                <w:rFonts w:ascii="Arial" w:eastAsia="Times New Roman" w:hAnsi="Arial" w:cs="Arial"/>
                <w:color w:val="000000"/>
                <w:kern w:val="0"/>
                <w:sz w:val="24"/>
                <w:szCs w:val="24"/>
                <w14:ligatures w14:val="none"/>
              </w:rPr>
              <w:t xml:space="preserve">Plaintiff, a now-retired Special Agent with the United States Secret Service, filed a civil suit against two United States Park Police officers (“officers”) under Bivens v. Six Unknown Named Agents of Federal Bureau of Narcotics, 403 U.S. 388 (1971). Plaintiff asserted that the officers violated his rights under the Fourth Amendment by unlawfully seizing him during two traffic stops. A jury found the officers liable for Plaintiff’s </w:t>
            </w:r>
            <w:r w:rsidRPr="0084127C">
              <w:rPr>
                <w:rFonts w:ascii="Arial" w:eastAsia="Times New Roman" w:hAnsi="Arial" w:cs="Arial"/>
                <w:color w:val="000000"/>
                <w:kern w:val="0"/>
                <w:sz w:val="24"/>
                <w:szCs w:val="24"/>
                <w14:ligatures w14:val="none"/>
              </w:rPr>
              <w:lastRenderedPageBreak/>
              <w:t>emotional injuries resulting from the constitutional violations and awarded him a total of $205,000 in compensatory damages and $525,000 in punitive damages. The district court entered final judgment in accordance with the jury verdict and later denied the officers’ post-trial motions seeking judgment as a matter of law or a new trial.</w:t>
            </w:r>
            <w:r w:rsidRPr="0084127C">
              <w:rPr>
                <w:rFonts w:ascii="Arial" w:eastAsia="Times New Roman" w:hAnsi="Arial" w:cs="Arial"/>
                <w:color w:val="000000"/>
                <w:kern w:val="0"/>
                <w:sz w:val="24"/>
                <w:szCs w:val="24"/>
                <w14:ligatures w14:val="none"/>
              </w:rPr>
              <w:br/>
              <w:t> </w:t>
            </w:r>
            <w:r w:rsidRPr="0084127C">
              <w:rPr>
                <w:rFonts w:ascii="Arial" w:eastAsia="Times New Roman" w:hAnsi="Arial" w:cs="Arial"/>
                <w:color w:val="000000"/>
                <w:kern w:val="0"/>
                <w:sz w:val="24"/>
                <w:szCs w:val="24"/>
                <w14:ligatures w14:val="none"/>
              </w:rPr>
              <w:br/>
              <w:t>The Fourth Circuit affirmed. The court concluded that Plaintiff presented a cognizable Bivens claim because his claim is not meaningfully different from the claim asserted in Bivens. Both cases involved allegations of unjustified, warrantless seizures in violation of the Fourth Amendment committed by federal “line” officers conducting routine police work. Also, the officers were not entitled to qualified immunity. They violated Plaintiff’s Fourth Amendment rights by significantly prolonging the initial stop without justification and by initiating a second, unjustified stop. This constitutional right to be free from such unlawful seizures was clearly established at the time the seizures occurred. Further, the court held that Plaintiff presented sufficient evidence of emotional injury to support the compensatory damage award, and the punitive damages award was not excessive.</w:t>
            </w:r>
          </w:p>
        </w:tc>
      </w:tr>
    </w:tbl>
    <w:p w14:paraId="64E6D9B6" w14:textId="77777777" w:rsidR="0084127C" w:rsidRDefault="0084127C" w:rsidP="000E0F44"/>
    <w:p w14:paraId="16F6CEA7" w14:textId="77777777" w:rsidR="0084127C" w:rsidRDefault="0084127C" w:rsidP="000E0F44"/>
    <w:p w14:paraId="042EEB5D" w14:textId="77777777" w:rsidR="0084127C" w:rsidRDefault="0084127C" w:rsidP="000E0F44"/>
    <w:p w14:paraId="2903B93F" w14:textId="77777777" w:rsidR="0084127C" w:rsidRDefault="0084127C" w:rsidP="000E0F44"/>
    <w:sectPr w:rsidR="00841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B8"/>
    <w:rsid w:val="000E0F44"/>
    <w:rsid w:val="002550DE"/>
    <w:rsid w:val="003D5635"/>
    <w:rsid w:val="00434D18"/>
    <w:rsid w:val="0084127C"/>
    <w:rsid w:val="009641B8"/>
    <w:rsid w:val="00A2354A"/>
    <w:rsid w:val="00C04E35"/>
    <w:rsid w:val="00CB40F3"/>
    <w:rsid w:val="00CE2554"/>
    <w:rsid w:val="00D56CE2"/>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F543"/>
  <w15:chartTrackingRefBased/>
  <w15:docId w15:val="{BD1148DB-D452-47B4-BD22-D9135CBB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354A"/>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23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26866">
      <w:bodyDiv w:val="1"/>
      <w:marLeft w:val="0"/>
      <w:marRight w:val="0"/>
      <w:marTop w:val="0"/>
      <w:marBottom w:val="0"/>
      <w:divBdr>
        <w:top w:val="none" w:sz="0" w:space="0" w:color="auto"/>
        <w:left w:val="none" w:sz="0" w:space="0" w:color="auto"/>
        <w:bottom w:val="none" w:sz="0" w:space="0" w:color="auto"/>
        <w:right w:val="none" w:sz="0" w:space="0" w:color="auto"/>
      </w:divBdr>
    </w:div>
    <w:div w:id="689448793">
      <w:bodyDiv w:val="1"/>
      <w:marLeft w:val="0"/>
      <w:marRight w:val="0"/>
      <w:marTop w:val="0"/>
      <w:marBottom w:val="0"/>
      <w:divBdr>
        <w:top w:val="none" w:sz="0" w:space="0" w:color="auto"/>
        <w:left w:val="none" w:sz="0" w:space="0" w:color="auto"/>
        <w:bottom w:val="none" w:sz="0" w:space="0" w:color="auto"/>
        <w:right w:val="none" w:sz="0" w:space="0" w:color="auto"/>
      </w:divBdr>
    </w:div>
    <w:div w:id="768162864">
      <w:bodyDiv w:val="1"/>
      <w:marLeft w:val="0"/>
      <w:marRight w:val="0"/>
      <w:marTop w:val="0"/>
      <w:marBottom w:val="0"/>
      <w:divBdr>
        <w:top w:val="none" w:sz="0" w:space="0" w:color="auto"/>
        <w:left w:val="none" w:sz="0" w:space="0" w:color="auto"/>
        <w:bottom w:val="none" w:sz="0" w:space="0" w:color="auto"/>
        <w:right w:val="none" w:sz="0" w:space="0" w:color="auto"/>
      </w:divBdr>
    </w:div>
    <w:div w:id="101738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2023-05-17T14:30:00Z</dcterms:created>
  <dcterms:modified xsi:type="dcterms:W3CDTF">2023-05-17T14:48:00Z</dcterms:modified>
</cp:coreProperties>
</file>