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F76D3" w14:textId="6E022AD5" w:rsidR="00533A48" w:rsidRDefault="007305C1">
      <w:r>
        <w:t>CASES 12/01/2023</w:t>
      </w:r>
    </w:p>
    <w:p w14:paraId="41813639" w14:textId="77777777" w:rsidR="005C2136" w:rsidRDefault="005C2136" w:rsidP="005C2136">
      <w:r>
        <w:t>Sligh v. City of Conroe</w:t>
      </w:r>
    </w:p>
    <w:p w14:paraId="3B3EAFF9" w14:textId="77777777" w:rsidR="005C2136" w:rsidRDefault="005C2136" w:rsidP="005C2136">
      <w:r>
        <w:t>Court: US Court of Appeals for the Fifth Circuit</w:t>
      </w:r>
    </w:p>
    <w:p w14:paraId="49FDC988" w14:textId="77777777" w:rsidR="005C2136" w:rsidRDefault="005C2136" w:rsidP="005C2136">
      <w:r>
        <w:t>Docket: 22-40518</w:t>
      </w:r>
    </w:p>
    <w:p w14:paraId="5380EC50" w14:textId="179462AA" w:rsidR="005C2136" w:rsidRDefault="005C2136" w:rsidP="005C2136">
      <w:r>
        <w:t>O</w:t>
      </w:r>
      <w:r>
        <w:t>pinion Date: November 29, 2023</w:t>
      </w:r>
    </w:p>
    <w:p w14:paraId="785F97B4" w14:textId="77777777" w:rsidR="005C2136" w:rsidRDefault="005C2136" w:rsidP="005C2136">
      <w:r>
        <w:t xml:space="preserve">Judge: Per </w:t>
      </w:r>
      <w:proofErr w:type="spellStart"/>
      <w:r>
        <w:t>Curiam</w:t>
      </w:r>
      <w:proofErr w:type="spellEnd"/>
    </w:p>
    <w:p w14:paraId="2541A750" w14:textId="77777777" w:rsidR="005C2136" w:rsidRDefault="005C2136" w:rsidP="005C2136">
      <w:r>
        <w:t>Areas of Law: Civil Rights, Constitutional Law</w:t>
      </w:r>
    </w:p>
    <w:p w14:paraId="73747C3C" w14:textId="77777777" w:rsidR="005C2136" w:rsidRDefault="005C2136" w:rsidP="005C2136">
      <w:r>
        <w:t xml:space="preserve">Plaintiff was bitten and injured by a police dog after Plaintiff’s partner called 911 to report that Plaintiff was suicidal, had hurt herself, and had left her house on foot. In the operative third amended complaint, Plaintiff asserted various claims against Sutton and Montes in their individual capacities as well as claims against the City of Conroe and Montgomery County. Specifically, as relevant to this appeal, she asserted (1) a 42 U.S.C. Section 1983 excessive force claim against Sutton; (2) a Section 1983 failure-to-intervene/bystander liability </w:t>
      </w:r>
      <w:proofErr w:type="gramStart"/>
      <w:r>
        <w:t>claim</w:t>
      </w:r>
      <w:proofErr w:type="gramEnd"/>
      <w:r>
        <w:t xml:space="preserve"> against Montes; (3) a Section 1983 municipal/Monell liability claim against the City of Conroe; and (4) various failure-to-accommodate claims under Title II of the ADA and Section 504 of the Rehabilitation Act against both the City of Conroe and Montgomery County. Montgomery County and Montes jointly moved to dismiss the complaint for failure to state a claim, raising, inter alia, a qualified immunity defense as to Montes.</w:t>
      </w:r>
    </w:p>
    <w:p w14:paraId="56CF0979" w14:textId="77777777" w:rsidR="005C2136" w:rsidRDefault="005C2136" w:rsidP="005C2136">
      <w:r>
        <w:t xml:space="preserve"> </w:t>
      </w:r>
    </w:p>
    <w:p w14:paraId="7111C138" w14:textId="5FAB5493" w:rsidR="007305C1" w:rsidRDefault="005C2136" w:rsidP="005C2136">
      <w:r>
        <w:t>The Fifth Circuit affirmed. The court explained that Plaintiff failed to allege specific and nonconclusory facts that would show that the City was deliberately indifferent in adopting its training policy. Accordingly, the court found that the district court did not err in dismissing Sligh’s failure-to-train claim against the City of Conroe. Further, the court explained that Plaintiff can “prevail only by showing that 'the disability, resulting limitation, and necessary reasonable accommodation’ were 'open, obvious, and apparent’ to the entity’s relevant agents.” But she does not attempt to make this showing. Nor could she.</w:t>
      </w:r>
    </w:p>
    <w:p w14:paraId="4F9444F2" w14:textId="77777777" w:rsidR="005C2136" w:rsidRDefault="005C2136" w:rsidP="005C2136"/>
    <w:p w14:paraId="72239F58" w14:textId="77777777" w:rsidR="005C2136" w:rsidRDefault="005C2136" w:rsidP="005C2136"/>
    <w:p w14:paraId="31A9E004" w14:textId="77777777" w:rsidR="005C2136" w:rsidRDefault="005C2136" w:rsidP="005C2136">
      <w:r>
        <w:t>North Dakota v. Steele</w:t>
      </w:r>
    </w:p>
    <w:p w14:paraId="736C7CD8" w14:textId="77777777" w:rsidR="005C2136" w:rsidRDefault="005C2136" w:rsidP="005C2136">
      <w:r>
        <w:t>Court: North Dakota Supreme Court</w:t>
      </w:r>
    </w:p>
    <w:p w14:paraId="6E69A708" w14:textId="77777777" w:rsidR="005C2136" w:rsidRDefault="005C2136" w:rsidP="005C2136">
      <w:r>
        <w:t>Citation: 2023 ND 220</w:t>
      </w:r>
    </w:p>
    <w:p w14:paraId="50CEFAC0" w14:textId="77777777" w:rsidR="005C2136" w:rsidRDefault="005C2136" w:rsidP="005C2136">
      <w:r>
        <w:t>Opinion Date: November 24, 2023</w:t>
      </w:r>
    </w:p>
    <w:p w14:paraId="6D13297C" w14:textId="77777777" w:rsidR="005C2136" w:rsidRDefault="005C2136" w:rsidP="005C2136">
      <w:r>
        <w:t>Judge: Douglas A. Bahr</w:t>
      </w:r>
    </w:p>
    <w:p w14:paraId="01BC4BF1" w14:textId="77777777" w:rsidR="005C2136" w:rsidRDefault="005C2136" w:rsidP="005C2136">
      <w:r>
        <w:t>Areas of Law: Constitutional Law, Criminal Law</w:t>
      </w:r>
    </w:p>
    <w:p w14:paraId="2FBA0490" w14:textId="77777777" w:rsidR="005C2136" w:rsidRDefault="005C2136" w:rsidP="005C2136"/>
    <w:p w14:paraId="62764C47" w14:textId="0E4DE202" w:rsidR="005C2136" w:rsidRDefault="005C2136" w:rsidP="005C2136">
      <w:r>
        <w:t>Ashton Steele appealed after conditionally pleading guilty to delivery of a controlled substance and possession with intent to manufacture or deliver a controlled substance. The plea reserved the right to appeal the denial of a motion to suppress evidence. After review of the trial court record, the North Dakota Supreme Court concluded Steele had a reasonable expectation of privacy in the rented bedroom and a reasonable officer would not have believed the homeowner could consent to a search of the bedroom. Accordingly, the judgment was reversed and the case remanded for further proceedings.</w:t>
      </w:r>
    </w:p>
    <w:p w14:paraId="7F2155B4" w14:textId="77777777" w:rsidR="007305C1" w:rsidRDefault="007305C1"/>
    <w:p w14:paraId="029795C7" w14:textId="77777777" w:rsidR="005C2136" w:rsidRDefault="005C2136"/>
    <w:p w14:paraId="634C08AD" w14:textId="77777777" w:rsidR="005C2136" w:rsidRDefault="005C2136"/>
    <w:p w14:paraId="5D0DDAF1" w14:textId="77777777" w:rsidR="005C2136" w:rsidRDefault="005C2136" w:rsidP="005C2136">
      <w:r>
        <w:t>People v. Webb</w:t>
      </w:r>
    </w:p>
    <w:p w14:paraId="77953620" w14:textId="77777777" w:rsidR="005C2136" w:rsidRDefault="005C2136" w:rsidP="005C2136"/>
    <w:p w14:paraId="324A5D04" w14:textId="77777777" w:rsidR="005C2136" w:rsidRDefault="005C2136" w:rsidP="005C2136">
      <w:r>
        <w:t>Court: Supreme Court of Illinois</w:t>
      </w:r>
    </w:p>
    <w:p w14:paraId="69DF31CD" w14:textId="77777777" w:rsidR="005C2136" w:rsidRDefault="005C2136" w:rsidP="005C2136"/>
    <w:p w14:paraId="32866D06" w14:textId="77777777" w:rsidR="005C2136" w:rsidRDefault="005C2136" w:rsidP="005C2136">
      <w:r>
        <w:t>Citation: 2023 IL 128957</w:t>
      </w:r>
    </w:p>
    <w:p w14:paraId="6A115A11" w14:textId="77777777" w:rsidR="005C2136" w:rsidRDefault="005C2136" w:rsidP="005C2136"/>
    <w:p w14:paraId="36B924AE" w14:textId="77777777" w:rsidR="005C2136" w:rsidRDefault="005C2136" w:rsidP="005C2136">
      <w:r>
        <w:t>Opinion Date: November 30, 2023</w:t>
      </w:r>
    </w:p>
    <w:p w14:paraId="77C0ED44" w14:textId="77777777" w:rsidR="005C2136" w:rsidRDefault="005C2136" w:rsidP="005C2136"/>
    <w:p w14:paraId="3F5B4389" w14:textId="77777777" w:rsidR="005C2136" w:rsidRDefault="005C2136" w:rsidP="005C2136">
      <w:r>
        <w:t>Judge: Rochford</w:t>
      </w:r>
    </w:p>
    <w:p w14:paraId="2B3AC619" w14:textId="77777777" w:rsidR="005C2136" w:rsidRDefault="005C2136" w:rsidP="005C2136"/>
    <w:p w14:paraId="08CE7312" w14:textId="77777777" w:rsidR="005C2136" w:rsidRDefault="005C2136" w:rsidP="005C2136">
      <w:r>
        <w:t>Areas of Law: Civil Rights, Constitutional Law, Criminal Law</w:t>
      </w:r>
    </w:p>
    <w:p w14:paraId="73211FAD" w14:textId="77777777" w:rsidR="005C2136" w:rsidRDefault="005C2136" w:rsidP="005C2136"/>
    <w:p w14:paraId="58C91B25" w14:textId="77777777" w:rsidR="005C2136" w:rsidRDefault="005C2136" w:rsidP="005C2136">
      <w:r>
        <w:t>Sergeant Albee saw a truck pulling a partially loaded car hauler semitrailer with no driver’s side markings indicating the company name or the DOT number required by federal regulations. The hauler was only partially loaded, which Albee found unusual; no registration was displayed on the trailer. During the subsequent traffic stop, Webb displayed “a state of panic” and had no organized documentation. He volunteered that he had been stopped several times and that the vehicle had been checked for drugs. Albee found that statement “bizarre.” Webb gave Albee a cab card that was Illinois apportioned, but the displayed license plate was from California. Albee performed a free air sniff test with his canine partner. After a positive alert on the trailer, a search revealed an unlicensed firearm and 2736 grams of cannabis–street value $40,000.</w:t>
      </w:r>
    </w:p>
    <w:p w14:paraId="3623387A" w14:textId="77777777" w:rsidR="005C2136" w:rsidRDefault="005C2136" w:rsidP="005C2136"/>
    <w:p w14:paraId="4A5AAA2D" w14:textId="003A7897" w:rsidR="005C2136" w:rsidRDefault="005C2136" w:rsidP="005C2136">
      <w:r>
        <w:t>Webb was convicted of cannabis trafficking, possession of cannabis with intent to deliver, and possession of cannabis. The appellate court and Illinois Supreme Court affirmed, rejecting Webb’s argument that his counsel was ineffective for failing to move to suppress the cannabis on the basis that the positive canine alert, without more, was not sufficient to establish probable cause following changes to Illinois cannabis legislation. Albee relied on more than the dog sniff. The totality of the facts and circumstances justified a reasonable person in believing that the vehicle contained contraband or evidence of criminal activity.</w:t>
      </w:r>
    </w:p>
    <w:p w14:paraId="15BF0C5E" w14:textId="77777777" w:rsidR="005C2136" w:rsidRDefault="005C2136" w:rsidP="005C2136"/>
    <w:p w14:paraId="7FCEC596" w14:textId="77777777" w:rsidR="005C2136" w:rsidRDefault="005C2136" w:rsidP="005C2136"/>
    <w:p w14:paraId="389FAA03" w14:textId="77777777" w:rsidR="005C2136" w:rsidRDefault="005C2136" w:rsidP="005C2136"/>
    <w:p w14:paraId="1FF8D98D" w14:textId="77777777" w:rsidR="00B071EF" w:rsidRDefault="00B071EF" w:rsidP="00B071EF">
      <w:r>
        <w:t xml:space="preserve">City of Tallahassee v. Fla. Police Benevolent </w:t>
      </w:r>
      <w:proofErr w:type="spellStart"/>
      <w:r>
        <w:t>Ass'n</w:t>
      </w:r>
      <w:proofErr w:type="spellEnd"/>
    </w:p>
    <w:p w14:paraId="393B5EC4" w14:textId="77777777" w:rsidR="00B071EF" w:rsidRDefault="00B071EF" w:rsidP="00B071EF">
      <w:r>
        <w:t>Court: Florida Supreme Court</w:t>
      </w:r>
    </w:p>
    <w:p w14:paraId="1FFB676B" w14:textId="77777777" w:rsidR="00B071EF" w:rsidRDefault="00B071EF" w:rsidP="00B071EF">
      <w:r>
        <w:t>Docket: SC2021-0651</w:t>
      </w:r>
    </w:p>
    <w:p w14:paraId="49C748A8" w14:textId="77777777" w:rsidR="00B071EF" w:rsidRDefault="00B071EF" w:rsidP="00B071EF">
      <w:r>
        <w:t>Opinion Date: November 30, 2023</w:t>
      </w:r>
    </w:p>
    <w:p w14:paraId="64C6988F" w14:textId="77777777" w:rsidR="00B071EF" w:rsidRDefault="00B071EF" w:rsidP="00B071EF">
      <w:r>
        <w:t xml:space="preserve">Judge: </w:t>
      </w:r>
      <w:proofErr w:type="spellStart"/>
      <w:r>
        <w:t>Couriel</w:t>
      </w:r>
      <w:proofErr w:type="spellEnd"/>
    </w:p>
    <w:p w14:paraId="31D78AE1" w14:textId="77777777" w:rsidR="00B071EF" w:rsidRDefault="00B071EF" w:rsidP="00B071EF"/>
    <w:p w14:paraId="34F7A6EA" w14:textId="77777777" w:rsidR="00B071EF" w:rsidRDefault="00B071EF" w:rsidP="00B071EF">
      <w:r>
        <w:t>Areas of Law: Communications Law, Criminal Law</w:t>
      </w:r>
    </w:p>
    <w:p w14:paraId="1BCB3C4C" w14:textId="77777777" w:rsidR="00B071EF" w:rsidRDefault="00B071EF" w:rsidP="00B071EF"/>
    <w:p w14:paraId="5ED4E88E" w14:textId="77777777" w:rsidR="00B071EF" w:rsidRDefault="00B071EF" w:rsidP="00B071EF">
      <w:r>
        <w:t xml:space="preserve">In this case arising from two unrelated episodes in which a Tallahassee police officer used lethal force in detaining a suspect after asserting self-defense the Supreme Court held that </w:t>
      </w:r>
      <w:proofErr w:type="spellStart"/>
      <w:r>
        <w:t>Marsy's</w:t>
      </w:r>
      <w:proofErr w:type="spellEnd"/>
      <w:r>
        <w:t xml:space="preserve"> Law, Fla. Const. art. I, 16(b)-(e), guarantees to no victim, including a police officer, the categorical right to withhold his or her name from disclosure to the public.</w:t>
      </w:r>
    </w:p>
    <w:p w14:paraId="28EA6B3A" w14:textId="77777777" w:rsidR="00B071EF" w:rsidRDefault="00B071EF" w:rsidP="00B071EF"/>
    <w:p w14:paraId="147EEE63" w14:textId="4420492A" w:rsidR="005C2136" w:rsidRDefault="00B071EF" w:rsidP="00B071EF">
      <w:r>
        <w:t xml:space="preserve">After the City of Tallahassee proposed to release the law enforcement officers' names to the public, the Florida Police Benevolent Association sought an emergency injunction to prevent that from happening. The trial court denied the injunction and ordered that the names of the two officers be released. The First District Court of Appeal reversed, concluding that nothing in article I, section 16 excluded police officers or other government employees from the protections granted crime victims. The Supreme Court quashed the decision of the First District, holding that </w:t>
      </w:r>
      <w:proofErr w:type="spellStart"/>
      <w:r>
        <w:t>Marsy's</w:t>
      </w:r>
      <w:proofErr w:type="spellEnd"/>
      <w:r>
        <w:t xml:space="preserve"> Law did not preclude the </w:t>
      </w:r>
      <w:proofErr w:type="gramStart"/>
      <w:r>
        <w:t>City</w:t>
      </w:r>
      <w:proofErr w:type="gramEnd"/>
      <w:r>
        <w:t xml:space="preserve"> from releasing the two police officers' names under the circumstances of this case.</w:t>
      </w:r>
    </w:p>
    <w:p w14:paraId="151CF799" w14:textId="77777777" w:rsidR="00B071EF" w:rsidRDefault="00B071EF" w:rsidP="00B071EF"/>
    <w:p w14:paraId="0277E0AC" w14:textId="77777777" w:rsidR="00B071EF" w:rsidRDefault="00B071EF" w:rsidP="00B071EF"/>
    <w:p w14:paraId="40ABAC81" w14:textId="77777777" w:rsidR="00B071EF" w:rsidRDefault="00B071EF" w:rsidP="00B071EF"/>
    <w:sectPr w:rsidR="00B07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5C1"/>
    <w:rsid w:val="00533A48"/>
    <w:rsid w:val="005C2136"/>
    <w:rsid w:val="007305C1"/>
    <w:rsid w:val="00AC2012"/>
    <w:rsid w:val="00B07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39284"/>
  <w15:chartTrackingRefBased/>
  <w15:docId w15:val="{F9711C43-3160-4B86-9D85-70215864B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2023-12-01T15:42:00Z</dcterms:created>
  <dcterms:modified xsi:type="dcterms:W3CDTF">2023-12-01T16:05:00Z</dcterms:modified>
</cp:coreProperties>
</file>