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925BF8">
      <w:r>
        <w:t>CASES 10FEB2023</w:t>
      </w:r>
    </w:p>
    <w:p w:rsidR="00925BF8" w:rsidRDefault="00925BF8"/>
    <w:p w:rsidR="00A83583" w:rsidRDefault="00A83583" w:rsidP="00A83583">
      <w:r>
        <w:t>United States v. John</w:t>
      </w:r>
    </w:p>
    <w:p w:rsidR="00A83583" w:rsidRDefault="00A83583" w:rsidP="00A83583">
      <w:r>
        <w:t>Court: US Court of Appeals for the First Circuit</w:t>
      </w:r>
    </w:p>
    <w:p w:rsidR="00A83583" w:rsidRDefault="00A83583" w:rsidP="00A83583">
      <w:r>
        <w:t>Opinion Date: February 3, 2023</w:t>
      </w:r>
    </w:p>
    <w:p w:rsidR="00A83583" w:rsidRDefault="00A83583" w:rsidP="00A83583"/>
    <w:p w:rsidR="00A83583" w:rsidRDefault="00A83583" w:rsidP="00A83583">
      <w:r>
        <w:t>The First Circuit affirmed the judgment of the district court denying Defendant's motion to suppress evidence that he possessed an AR-15 assault rifle and many rounds of ammunition, holding that the district court correctly found that Defendant had no objectively reasonable expectation of privacy in the evidence at issue.</w:t>
      </w:r>
    </w:p>
    <w:p w:rsidR="00A83583" w:rsidRDefault="00A83583" w:rsidP="00A83583"/>
    <w:p w:rsidR="00925BF8" w:rsidRDefault="00A83583" w:rsidP="00A83583">
      <w:r>
        <w:t>At issue was whether Defendant showed an objectively reasonable privacy interest in the items seized from a case he had left in the home of his former domestic partner and their minor son. Law enforcement officers retrieved the case after responding to Defendant's former partner's domestic disturbance call when Defendant entered the residence, assaulted her, and left her and the child wounded. Defendant filed a motion to suppress, arguing that he had a subjective and objectively reasonable expectation of privacy in the case. The district court denied the motion. The First Circuit affirmed, holding that Defendant did not have an objectively reasonable expectation of privacy.</w:t>
      </w:r>
    </w:p>
    <w:p w:rsidR="00A83583" w:rsidRDefault="00A83583" w:rsidP="00A83583"/>
    <w:p w:rsidR="00A83583" w:rsidRDefault="00A83583" w:rsidP="00A83583"/>
    <w:p w:rsidR="00A83583" w:rsidRDefault="00A83583" w:rsidP="00A83583"/>
    <w:p w:rsidR="00A83583" w:rsidRDefault="00A83583" w:rsidP="00A83583">
      <w:r>
        <w:t xml:space="preserve">USA v. </w:t>
      </w:r>
      <w:proofErr w:type="spellStart"/>
      <w:r>
        <w:t>Murta</w:t>
      </w:r>
      <w:proofErr w:type="spellEnd"/>
    </w:p>
    <w:p w:rsidR="00A83583" w:rsidRDefault="00A83583" w:rsidP="00A83583">
      <w:r>
        <w:t>Court: US Court of Appeals for the Fifth Circuit</w:t>
      </w:r>
    </w:p>
    <w:p w:rsidR="00A83583" w:rsidRDefault="00A83583" w:rsidP="00A83583">
      <w:r>
        <w:t>Opinion Date: February 8, 2023</w:t>
      </w:r>
    </w:p>
    <w:p w:rsidR="00A83583" w:rsidRDefault="00A83583" w:rsidP="00A83583"/>
    <w:p w:rsidR="00A83583" w:rsidRDefault="00A83583" w:rsidP="00A83583">
      <w:r>
        <w:t>This appeal concerns an alleged international bribery scheme between U.S.-based businesses and Venezuelan officials. On Defendants’ motions, the district court dismissed all counts charged against them and suppressed statements made during an interview. The government timely appealed.</w:t>
      </w:r>
    </w:p>
    <w:p w:rsidR="00A83583" w:rsidRDefault="00A83583" w:rsidP="00A83583">
      <w:r>
        <w:t xml:space="preserve"> </w:t>
      </w:r>
    </w:p>
    <w:p w:rsidR="00A83583" w:rsidRDefault="00A83583" w:rsidP="00A83583">
      <w:r>
        <w:t>The Fifth Circuit reversed. First, the court held that because extraterritoriality concerns the merits of the case, not the court’s power to hear it, the district court erred in concluding that it lacked subject-matter jurisdiction over these counts. Further, Defendants’ contention that the indictment does not sufficiently allege that they are agents of a domestic concern does not lend itself to the conclusion that the indictment is inherently insufficient. Moreover, the term “agent” is not unconstitutionally vague as applied to Defendants. Additionally, the court wrote that the allegations that Defendants engaged in conduct that occurred in part in the Southern District of Texas satisfy the money-laundering statute’s extraterritorial provision. The district court erred in concluding otherwise. Finally, the environment in which the agents questioned Defendant, wherein his attorney could safeguard against police coercion, does not present the same inherently coercive pressures as the station-house questioning at issue in Miranda. The district court’s order suppressing the statements, then, was erroneous.</w:t>
      </w:r>
    </w:p>
    <w:p w:rsidR="00A83583" w:rsidRDefault="00A83583" w:rsidP="00A83583"/>
    <w:p w:rsidR="00A83583" w:rsidRDefault="00A83583" w:rsidP="00A83583"/>
    <w:p w:rsidR="00A83583" w:rsidRDefault="00A83583" w:rsidP="00A83583"/>
    <w:p w:rsidR="00A83583" w:rsidRDefault="00A83583">
      <w:r>
        <w:br w:type="page"/>
      </w:r>
    </w:p>
    <w:p w:rsidR="00A83583" w:rsidRDefault="00A83583" w:rsidP="00A83583">
      <w:r>
        <w:lastRenderedPageBreak/>
        <w:t>United States v. Sanders</w:t>
      </w:r>
    </w:p>
    <w:p w:rsidR="00A83583" w:rsidRDefault="00A83583" w:rsidP="00A83583">
      <w:r>
        <w:t>Court: US Court of Appeals for the Sixth Circuit</w:t>
      </w:r>
    </w:p>
    <w:p w:rsidR="00A83583" w:rsidRDefault="00A83583" w:rsidP="00A83583">
      <w:r>
        <w:t>Opinion Date: February 6, 2023</w:t>
      </w:r>
    </w:p>
    <w:p w:rsidR="00A83583" w:rsidRDefault="00A83583" w:rsidP="00A83583"/>
    <w:p w:rsidR="00A83583" w:rsidRDefault="00A83583" w:rsidP="00A83583">
      <w:r>
        <w:t xml:space="preserve">Officer </w:t>
      </w:r>
      <w:proofErr w:type="spellStart"/>
      <w:r>
        <w:t>Hazlewood</w:t>
      </w:r>
      <w:proofErr w:type="spellEnd"/>
      <w:r>
        <w:t xml:space="preserve"> applied to a Kentucky state judge for a warrant. In his supporting affidavit, </w:t>
      </w:r>
      <w:proofErr w:type="spellStart"/>
      <w:r>
        <w:t>Hazlewood</w:t>
      </w:r>
      <w:proofErr w:type="spellEnd"/>
      <w:r>
        <w:t xml:space="preserve"> stated that a confidential informant (CI) advised </w:t>
      </w:r>
      <w:proofErr w:type="spellStart"/>
      <w:r>
        <w:t>Hazlewood</w:t>
      </w:r>
      <w:proofErr w:type="spellEnd"/>
      <w:r>
        <w:t xml:space="preserve"> that Sanders was selling heroin/fentanyl from a specific apartment. </w:t>
      </w:r>
      <w:proofErr w:type="spellStart"/>
      <w:r>
        <w:t>Hazlewood</w:t>
      </w:r>
      <w:proofErr w:type="spellEnd"/>
      <w:r>
        <w:t xml:space="preserve"> set up two controlled purchases; officers observed Sanders leaving and returning to that apartment. The affidavit contained no information pertaining to the reliability of the CI. With a warrant, officers recovered controlled substances, drug paraphernalia, and firearms from the apartment. Sanders was charged with drug and firearm offenses but was not charged with distributing the drugs sold during the controlled purchases.</w:t>
      </w:r>
    </w:p>
    <w:p w:rsidR="00A83583" w:rsidRDefault="00A83583" w:rsidP="00A83583"/>
    <w:p w:rsidR="00A83583" w:rsidRDefault="00A83583" w:rsidP="00A83583">
      <w:r>
        <w:t>The court denied Sanders's motion for supplemental discovery relating to the controlled buys because disclosure would reveal the CI’s identity and the evidence was not material to the defense. Sanders also moved to suppress all evidence and statements that were obtained when executing the warrant and for a “Franks” hearing to challenge the accuracy of surveillance referenced in the affidavit. The court denied the motions determining that probable cause supported the search warrant or, in the alternative, that the “good faith” exception applied.</w:t>
      </w:r>
    </w:p>
    <w:p w:rsidR="00A83583" w:rsidRDefault="00A83583" w:rsidP="00A83583"/>
    <w:p w:rsidR="00A83583" w:rsidRDefault="00A83583" w:rsidP="00A83583">
      <w:r>
        <w:t>The Sixth Circuit vacated Sanders’s conviction and 72-month sentence. Few facts supported a nexus between the drug evidence being sought and the apartment that was searched; entering and exiting an apartment, alone, provides no indication of criminal activity at the apartment. The affidavit did not establish probable cause to believe that Sander resided at the apartment. No reasonable officer would believe that the affidavit established probable cause to search the apartment.</w:t>
      </w:r>
    </w:p>
    <w:p w:rsidR="00A83583" w:rsidRDefault="00A83583" w:rsidP="00A83583"/>
    <w:p w:rsidR="00A83583" w:rsidRDefault="00A83583" w:rsidP="00A83583"/>
    <w:p w:rsidR="009E784E" w:rsidRDefault="009E784E" w:rsidP="009E784E">
      <w:proofErr w:type="spellStart"/>
      <w:r>
        <w:t>U</w:t>
      </w:r>
      <w:r>
        <w:t>Sv</w:t>
      </w:r>
      <w:r>
        <w:t>Shrum</w:t>
      </w:r>
      <w:proofErr w:type="spellEnd"/>
    </w:p>
    <w:p w:rsidR="009E784E" w:rsidRDefault="009E784E" w:rsidP="009E784E">
      <w:r>
        <w:t>Court: US Court of Appeals for the Eighth Circuit</w:t>
      </w:r>
    </w:p>
    <w:p w:rsidR="009E784E" w:rsidRDefault="009E784E" w:rsidP="009E784E">
      <w:r>
        <w:t>Opinion Date: February 9, 2023</w:t>
      </w:r>
    </w:p>
    <w:p w:rsidR="009E784E" w:rsidRDefault="009E784E" w:rsidP="009E784E"/>
    <w:p w:rsidR="009E784E" w:rsidRDefault="009E784E" w:rsidP="009E784E">
      <w:r>
        <w:t>Defendant was indicted on separate counts of producing, receiving, and possessing child pornography. He moved to suppress all evidence obtained after the warrantless seizure of his cell phone, including the images found on the phone, the evidence seized at his house, and the images found on the hard drive. Defendant also moved to suppress the statements he made to law enforcement. The district court denied Defendant’s motion in its entirety. Shrum entered conditional guilty pleas to one count of producing child pornography and one count of receiving child pornography and was sentenced to 210 months of imprisonment. Defendant timely appealed the denial of his motion to suppress. Defendant argued that his cell phone was seized in violation of the Fourth Amendment and, therefore, the district court erred in denying his motion to suppress.</w:t>
      </w:r>
    </w:p>
    <w:p w:rsidR="009E784E" w:rsidRDefault="009E784E" w:rsidP="009E784E">
      <w:r>
        <w:t xml:space="preserve"> </w:t>
      </w:r>
    </w:p>
    <w:p w:rsidR="00A83583" w:rsidRDefault="009E784E" w:rsidP="009E784E">
      <w:r>
        <w:t xml:space="preserve">The Eighth Circuit affirmed. The court held that the Sergeant had probable cause to believe Defendant’s phone contained contraband or evidence of a crime. The Sergeant had seen photos of text messages between A.B. and Defendant that indicated they had engaged in sexual activity, perhaps as recently as on the camping trip the night before. Further, there was a fair probability that those text messages, or related evidence of unlawful conduct, would be found on Defendant’s phone. Exigent circumstances were also present. When the Sergeant did find the victim, it appeared that she had just showered, suggesting to the Sergeant that she may have washed away physical evidence of sexual contact. Given </w:t>
      </w:r>
      <w:r>
        <w:lastRenderedPageBreak/>
        <w:t>the totality of the circumstances, the court agreed with the district court that the good-faith exception applies.</w:t>
      </w:r>
    </w:p>
    <w:p w:rsidR="009E784E" w:rsidRDefault="009E784E" w:rsidP="009E784E"/>
    <w:p w:rsidR="009E784E" w:rsidRDefault="009E784E" w:rsidP="009E784E"/>
    <w:p w:rsidR="009E784E" w:rsidRDefault="009E784E" w:rsidP="009E784E">
      <w:r>
        <w:t>United States v. Tu Anh Nguyen</w:t>
      </w:r>
    </w:p>
    <w:p w:rsidR="009E784E" w:rsidRDefault="009E784E" w:rsidP="009E784E">
      <w:r>
        <w:t>Court: US Court of Appeals for the Eighth Circuit</w:t>
      </w:r>
    </w:p>
    <w:p w:rsidR="009E784E" w:rsidRDefault="009E784E" w:rsidP="009E784E">
      <w:r>
        <w:t>Opinion Date: February 8, 2023</w:t>
      </w:r>
    </w:p>
    <w:p w:rsidR="009E784E" w:rsidRDefault="009E784E" w:rsidP="009E784E"/>
    <w:p w:rsidR="009E784E" w:rsidRDefault="009E784E" w:rsidP="009E784E">
      <w:r>
        <w:t>A jury convicted three Defendants (“D1”, “D2”, and “D3”) of conspiring to distribute 100 kilograms or more of marijuana. The jury also convicted D1 and D3 of possessing 100 kilograms or more of marijuana with intent to distribute and possessing a firearm in furtherance of a drug trafficking crime. All three Defendants appealed the denial of a motion to suppress and challenge the sufficiency of the evidence. They concede officers properly stopped their vehicle for commercial inspection but argue the officers subsequently exceeded the permissible scope of the inspection. In addition, D2 appealed his sentence.</w:t>
      </w:r>
    </w:p>
    <w:p w:rsidR="009E784E" w:rsidRDefault="009E784E" w:rsidP="009E784E">
      <w:r>
        <w:t xml:space="preserve"> </w:t>
      </w:r>
    </w:p>
    <w:p w:rsidR="009E784E" w:rsidRDefault="009E784E" w:rsidP="009E784E">
      <w:r>
        <w:t>The Eighth Circuit affirmed, holding that the officers developed probable cause before their actions exceeded the permissible scope of a commercial inspection and Defendants’ other arguments lack merit. The court found that the district court properly concluded that asking a driver for log books, bills of lading, and safety equipment; inquiring as to ownership, registration, and insurance; inspecting a vehicle’s exterior; and looking in a trailer for safety equipment or to inspect cargo securement are all proper aspects of a Level II inspection. Further, the district court did not commit clear error in finding the facts as a whole, including reliance on the dog, provided probable cause. Further, as to D2’s sentencing challenge, the district court did not clearly err in finding him to be a leader and applying an enhancement pursuant to U.S.S.G. Section 3B1.1. The resulting within-range sentence is presumptively reasonable on appeal, and D2 presents no persuasive arguments to suggest this is the “rare case” where such a presumption is rebutted.</w:t>
      </w:r>
    </w:p>
    <w:p w:rsidR="009E784E" w:rsidRDefault="009E784E" w:rsidP="009E784E"/>
    <w:p w:rsidR="009E784E" w:rsidRDefault="009E784E" w:rsidP="009E784E"/>
    <w:p w:rsidR="00DD27FA" w:rsidRDefault="00DD27FA" w:rsidP="00DD27FA">
      <w:r>
        <w:t>Dijon Sharpe v. Winterville Police Department</w:t>
      </w:r>
    </w:p>
    <w:p w:rsidR="00DD27FA" w:rsidRDefault="00DD27FA" w:rsidP="00DD27FA">
      <w:r>
        <w:t>Court: US Court of Appeals for the Fourth Circuit</w:t>
      </w:r>
    </w:p>
    <w:p w:rsidR="00DD27FA" w:rsidRDefault="00DD27FA" w:rsidP="00DD27FA">
      <w:r>
        <w:t>Opinion Date: February 7, 2023</w:t>
      </w:r>
    </w:p>
    <w:p w:rsidR="00DD27FA" w:rsidRDefault="00DD27FA" w:rsidP="00DD27FA"/>
    <w:p w:rsidR="00DD27FA" w:rsidRDefault="00DD27FA" w:rsidP="00DD27FA">
      <w:r>
        <w:t>This case asks whether a town’s alleged policy that bans video livestreaming certain interactions with law enforcement violates the First Amendment. It also asks whether a police officer who, during a traffic stop, attempted to stop a passenger from livestreaming the encounter may be successfully sued under Section 1983. Plaintiff sued under Section 1983. He sued the officers in their official capacities—effectively suing the Town of Winterville—for allegedly having a policy that prohibits recording and livestreaming public police interactions in violation of the First Amendment. He also sued an Officer in his individual capacity. The district court awarded Defendants judgment on the pleadings after finding that the policy did not violate the First Amendment. The court dismissed the individual-capacity claim.</w:t>
      </w:r>
    </w:p>
    <w:p w:rsidR="00DD27FA" w:rsidRDefault="00DD27FA" w:rsidP="00DD27FA">
      <w:r>
        <w:t xml:space="preserve"> </w:t>
      </w:r>
    </w:p>
    <w:p w:rsidR="009E784E" w:rsidRDefault="00DD27FA" w:rsidP="00DD27FA">
      <w:r>
        <w:t xml:space="preserve">The Fourth Circuit vacated in part and affirmed in part. The court reasoned that Plaintiffs seeking redress under Section 1983 for a violation of their constitutional rights must walk through a narrow gate. The doctrines of qualified immunity and </w:t>
      </w:r>
      <w:proofErr w:type="spellStart"/>
      <w:r>
        <w:t>Monell</w:t>
      </w:r>
      <w:proofErr w:type="spellEnd"/>
      <w:r>
        <w:t xml:space="preserve"> liability for local governments substantially diminish their chances. Here, faithful application of the doctrines leads to divergent results. </w:t>
      </w:r>
      <w:proofErr w:type="gramStart"/>
      <w:r>
        <w:t>Plaintiff’s</w:t>
      </w:r>
      <w:proofErr w:type="gramEnd"/>
      <w:r>
        <w:t xml:space="preserve"> has sufficiently alleged that the Town has a policy barring livestreaming one’s own traffic stop that violates the First Amendment. He must now show this policy exists. And, if it does, the Town will have the chance to prove that it does not violate the First Amendment. On the other hand, although the Officer was allegedly </w:t>
      </w:r>
      <w:r>
        <w:lastRenderedPageBreak/>
        <w:t>acting under the policy that plausibly violates the First Amendment, Plaintiff’s claim against him in his personal capacity fails.</w:t>
      </w:r>
    </w:p>
    <w:p w:rsidR="00DD27FA" w:rsidRDefault="00DD27FA" w:rsidP="00DD27FA"/>
    <w:p w:rsidR="00DD27FA" w:rsidRDefault="00DD27FA" w:rsidP="00DD27FA"/>
    <w:p w:rsidR="00DD27FA" w:rsidRDefault="00DD27FA" w:rsidP="00DD27FA"/>
    <w:sectPr w:rsidR="00DD2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F8"/>
    <w:rsid w:val="002550DE"/>
    <w:rsid w:val="003D5635"/>
    <w:rsid w:val="00925BF8"/>
    <w:rsid w:val="009E784E"/>
    <w:rsid w:val="00A83583"/>
    <w:rsid w:val="00C04E35"/>
    <w:rsid w:val="00D95B14"/>
    <w:rsid w:val="00DD27FA"/>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9E71"/>
  <w15:chartTrackingRefBased/>
  <w15:docId w15:val="{4A3EE55D-A458-4DBA-8CE8-0222DCA2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2023-02-11T12:16:00Z</dcterms:created>
  <dcterms:modified xsi:type="dcterms:W3CDTF">2023-02-11T13:01:00Z</dcterms:modified>
</cp:coreProperties>
</file>