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EC6365" w14:textId="266E2FEB" w:rsidR="00EC499C" w:rsidRDefault="00B22C44">
      <w:r>
        <w:t>CASES 9/29/2023</w:t>
      </w:r>
    </w:p>
    <w:p w14:paraId="301F6D24" w14:textId="77777777" w:rsidR="00B22C44" w:rsidRDefault="00B22C44"/>
    <w:p w14:paraId="32E93068" w14:textId="77777777" w:rsidR="00154DB7" w:rsidRDefault="00154DB7" w:rsidP="00154DB7">
      <w:r>
        <w:t>Roland Edger v. Krista McCabe, et al</w:t>
      </w:r>
    </w:p>
    <w:p w14:paraId="1E8807CA" w14:textId="4C135FF1" w:rsidR="00154DB7" w:rsidRDefault="00154DB7" w:rsidP="00154DB7">
      <w:r>
        <w:t>US Court of Appeals for the Eleventh Circuit</w:t>
      </w:r>
    </w:p>
    <w:p w14:paraId="5F7F0DBC" w14:textId="1E6810AA" w:rsidR="00154DB7" w:rsidRDefault="00154DB7" w:rsidP="00154DB7">
      <w:r>
        <w:t>September 26, 2023</w:t>
      </w:r>
    </w:p>
    <w:p w14:paraId="283ECF8C" w14:textId="77777777" w:rsidR="00154DB7" w:rsidRDefault="00154DB7" w:rsidP="00154DB7"/>
    <w:p w14:paraId="0CF134F7" w14:textId="07A585E5" w:rsidR="00154DB7" w:rsidRDefault="004D1457" w:rsidP="00154DB7">
      <w:r>
        <w:t>Tags: 1-4-2, 9-4</w:t>
      </w:r>
    </w:p>
    <w:p w14:paraId="1C899C1C" w14:textId="77777777" w:rsidR="00154DB7" w:rsidRDefault="00154DB7" w:rsidP="00154DB7"/>
    <w:p w14:paraId="6636905F" w14:textId="77777777" w:rsidR="00154DB7" w:rsidRDefault="00154DB7" w:rsidP="00154DB7">
      <w:r>
        <w:t xml:space="preserve">Plaintiff brought both a Section 1983 false arrest claim and a state law false arrest claim against two Huntsville, Alabama, police officers and the </w:t>
      </w:r>
      <w:proofErr w:type="gramStart"/>
      <w:r>
        <w:t>City</w:t>
      </w:r>
      <w:proofErr w:type="gramEnd"/>
      <w:r>
        <w:t xml:space="preserve"> itself. The district court concluded that the officers were entitled to qualified immunity, and Plaintiff appealed.</w:t>
      </w:r>
    </w:p>
    <w:p w14:paraId="564D812D" w14:textId="77777777" w:rsidR="00154DB7" w:rsidRDefault="00154DB7" w:rsidP="00154DB7">
      <w:r>
        <w:t xml:space="preserve"> </w:t>
      </w:r>
    </w:p>
    <w:p w14:paraId="76616E11" w14:textId="77777777" w:rsidR="00154DB7" w:rsidRDefault="00154DB7" w:rsidP="00154DB7">
      <w:r>
        <w:t>The Eleventh Circuit reversed the district court’s grant of qualified immunity. The court explained that, in general, when government officials are performing discretionary duties, as all parties concede they were in this case, they are entitled to qualified immunity. A plaintiff may rebut this entitlement by showing that the government officials (1) committed a constitutional violation; and (2) that this violation was “clearly established” in law at the time of the alleged misconduct.</w:t>
      </w:r>
    </w:p>
    <w:p w14:paraId="12C87066" w14:textId="77777777" w:rsidR="00154DB7" w:rsidRDefault="00154DB7" w:rsidP="00154DB7">
      <w:r>
        <w:t xml:space="preserve"> </w:t>
      </w:r>
    </w:p>
    <w:p w14:paraId="73A335A1" w14:textId="2E8CB406" w:rsidR="00B22C44" w:rsidRDefault="00154DB7" w:rsidP="00154DB7">
      <w:r>
        <w:t>The court explained that it has been clearly established for decades that the police are free to ask questions, and the public is free to ignore them. It has been clearly established prior to Plaintiff’s arrest that any legal obligation to speak to the police and answer their questions arises as a matter of state law. And the state statute itself, in this case, is clear and requires no additional construction: police are empowered to demand from an individual three things: “name, address and an explanation of his actions.” It was thus clearly established at the time of Plaintiff’s arrest that Defendant could not demand he produce physical identification. Thus, no reasonable officer could have believed there was probable cause to arrest Plaintiff for obstructing governmental operations. And this theory cannot support the grant of qualified immunity to the officers.</w:t>
      </w:r>
    </w:p>
    <w:p w14:paraId="32A1C8B9" w14:textId="77777777" w:rsidR="00154DB7" w:rsidRDefault="00154DB7" w:rsidP="00154DB7"/>
    <w:p w14:paraId="666C02A0" w14:textId="77777777" w:rsidR="00154DB7" w:rsidRDefault="00154DB7" w:rsidP="00154DB7"/>
    <w:p w14:paraId="34CDF9A3" w14:textId="77777777" w:rsidR="00154DB7" w:rsidRDefault="00154DB7" w:rsidP="00154DB7">
      <w:r>
        <w:t>California v. Esparza</w:t>
      </w:r>
    </w:p>
    <w:p w14:paraId="4C9D432C" w14:textId="54D43D0A" w:rsidR="00154DB7" w:rsidRDefault="00154DB7" w:rsidP="00154DB7">
      <w:r>
        <w:t>California Courts of Appeal</w:t>
      </w:r>
    </w:p>
    <w:p w14:paraId="71A53EF2" w14:textId="757BBB98" w:rsidR="00154DB7" w:rsidRDefault="00154DB7" w:rsidP="00154DB7">
      <w:r>
        <w:t>September 26, 2023</w:t>
      </w:r>
    </w:p>
    <w:p w14:paraId="6B6CB6C8" w14:textId="77777777" w:rsidR="00154DB7" w:rsidRDefault="00154DB7" w:rsidP="00154DB7"/>
    <w:p w14:paraId="074F13A3" w14:textId="6C5D3E99" w:rsidR="00154DB7" w:rsidRDefault="00D06413" w:rsidP="00154DB7">
      <w:r>
        <w:t>Tags: CA, 1-5, 6-5-2</w:t>
      </w:r>
    </w:p>
    <w:p w14:paraId="7FB11014" w14:textId="77777777" w:rsidR="00154DB7" w:rsidRDefault="00154DB7" w:rsidP="00154DB7"/>
    <w:p w14:paraId="1A8170FA" w14:textId="46C2D47D" w:rsidR="00154DB7" w:rsidRDefault="00154DB7" w:rsidP="00154DB7">
      <w:r>
        <w:t>After defendant Christopher Esparza was pulled over for a Vehicle Code violation, a detective who specializes in gang enforcement recognized him and two of his passengers as members of a City Heights gang. The detective thought one of the passengers, Delfino Osnaya, was likely to be armed and told the other officers they needed to search him. After their patdown of Osnaya yielded a loaded gun, the officers searched Esparza as well and found another loaded weapon. Esparza contested the constitutional validity of his detention and search, arguing: (1) the officers lacked reasonable suspicion that he was armed and dangerous when they conducted his patdown; and (2) his detention was unreasonably prolonged because it lasted longer than necessary for the officers to issue him a citation for the Vehicle Code violation. The Court of Appeal found the detention lasted a mere seven minutes, during which the officers proceeded expeditiously consistent with reasonable concerns for officer safety. "The totality of the circumstances known to the initial investigating officer justified those concerns, which were only heightened as additional factors came to light during the course of the traffic stop."</w:t>
      </w:r>
    </w:p>
    <w:p w14:paraId="0DFD9B34" w14:textId="77777777" w:rsidR="007E7489" w:rsidRDefault="007E7489" w:rsidP="00154DB7"/>
    <w:p w14:paraId="5B0D46F4" w14:textId="77777777" w:rsidR="007E7489" w:rsidRDefault="007E7489" w:rsidP="00154DB7"/>
    <w:p w14:paraId="58CE56FD" w14:textId="77777777" w:rsidR="007E7489" w:rsidRDefault="007E7489" w:rsidP="00154DB7"/>
    <w:p w14:paraId="3F817E73" w14:textId="77777777" w:rsidR="007E7489" w:rsidRDefault="007E7489" w:rsidP="007E7489">
      <w:r>
        <w:t xml:space="preserve">Commonwealth v. Jackson, K., </w:t>
      </w:r>
      <w:proofErr w:type="spellStart"/>
      <w:r>
        <w:t>Aplt</w:t>
      </w:r>
      <w:proofErr w:type="spellEnd"/>
      <w:r>
        <w:t>.</w:t>
      </w:r>
    </w:p>
    <w:p w14:paraId="65DCE13C" w14:textId="77777777" w:rsidR="007E7489" w:rsidRDefault="007E7489" w:rsidP="007E7489"/>
    <w:p w14:paraId="65B9A45E" w14:textId="2A252472" w:rsidR="007E7489" w:rsidRDefault="007E7489" w:rsidP="007E7489">
      <w:r>
        <w:t>Supreme Court of Pennsylvania</w:t>
      </w:r>
    </w:p>
    <w:p w14:paraId="1DE3A7BB" w14:textId="77777777" w:rsidR="007E7489" w:rsidRDefault="007E7489" w:rsidP="007E7489"/>
    <w:p w14:paraId="7574E842" w14:textId="183B16FF" w:rsidR="007E7489" w:rsidRDefault="007E7489" w:rsidP="007E7489">
      <w:r>
        <w:t>September 28, 2023</w:t>
      </w:r>
    </w:p>
    <w:p w14:paraId="20FF2643" w14:textId="77777777" w:rsidR="007E7489" w:rsidRDefault="007E7489" w:rsidP="007E7489"/>
    <w:p w14:paraId="630A48A1" w14:textId="16D86FBF" w:rsidR="007E7489" w:rsidRDefault="00D06413" w:rsidP="007E7489">
      <w:r>
        <w:t>Tags: 6-4, 1-5</w:t>
      </w:r>
    </w:p>
    <w:p w14:paraId="1C912BEC" w14:textId="77777777" w:rsidR="007E7489" w:rsidRDefault="007E7489" w:rsidP="007E7489"/>
    <w:p w14:paraId="409E6251" w14:textId="65E774A6" w:rsidR="007E7489" w:rsidRDefault="007E7489" w:rsidP="007E7489">
      <w:r>
        <w:t xml:space="preserve">Appellant Kevin Jackson appealed a superior court judgment </w:t>
      </w:r>
      <w:r w:rsidR="00CB0BFB">
        <w:t>that</w:t>
      </w:r>
      <w:r>
        <w:t xml:space="preserve"> vacated a pretrial order of the Court of Common Pleas of Philadelphia County (suppression court) and remanded the matter for further proceedings. The suppression court granted Jackson’s motion to suppress evidence recovered after a police officer detained Jackson via what was known as a Terry stop. While the suppression court concluded that the officer lacked the requisite reasonable suspicion to detain Jackson, the superior court reached the opposite conclusion. The superior court's judgment was affirmed by operation of law because the Pennsylvania Supreme Court was evenly divided. The opinion in support of affirmance agreed with the superior court's conclusion that the police officer had reasonable suspicion to detain Jackson under the particular facts of this case. The opinion in support of reversal noted that it was "critical that courts and practitioners in this area of the law be cognizant of the burden that rests with the Commonwealth to justify a warrantless search or seizure when it seeks to do so based upon a 'high-crime area;' ... If we assume for the purpose of analysis that the Commonwealth established with empirical evidence that the area where Jackson was stopped constituted an area known for disproportionately regular gun violence, that evidence would not be relevant because it does not tend to make it more probable that Jackson was engaged in gun violence. Contrary to the Commonwealth’s argument, the Fourth Amendment requires the government to explain how reasonable suspicion relates to the individual’s conduct taking place in the location or area, for instance, by showing that his conduct was unique and, therefore, suspicious."</w:t>
      </w:r>
    </w:p>
    <w:p w14:paraId="2938A132" w14:textId="77777777" w:rsidR="007E7489" w:rsidRDefault="007E7489" w:rsidP="007E7489"/>
    <w:p w14:paraId="4127E0CC" w14:textId="77777777" w:rsidR="007E7489" w:rsidRDefault="007E7489" w:rsidP="007E7489"/>
    <w:p w14:paraId="214C2032" w14:textId="77777777" w:rsidR="007E7489" w:rsidRDefault="007E7489" w:rsidP="007E7489"/>
    <w:p w14:paraId="2E78D4F3" w14:textId="77777777" w:rsidR="007E7489" w:rsidRDefault="007E7489" w:rsidP="007E7489"/>
    <w:sectPr w:rsidR="007E74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C44"/>
    <w:rsid w:val="00154DB7"/>
    <w:rsid w:val="003846A0"/>
    <w:rsid w:val="004D1457"/>
    <w:rsid w:val="007E7489"/>
    <w:rsid w:val="0093122A"/>
    <w:rsid w:val="009736FB"/>
    <w:rsid w:val="00B22C44"/>
    <w:rsid w:val="00CB0BFB"/>
    <w:rsid w:val="00D06413"/>
    <w:rsid w:val="00EC4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8CF16"/>
  <w15:chartTrackingRefBased/>
  <w15:docId w15:val="{8704783C-A85B-426F-959B-28B66DDFB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Pages>
  <Words>664</Words>
  <Characters>4263</Characters>
  <Application>Microsoft Office Word</Application>
  <DocSecurity>0</DocSecurity>
  <Lines>90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4</cp:revision>
  <dcterms:created xsi:type="dcterms:W3CDTF">2023-09-29T13:41:00Z</dcterms:created>
  <dcterms:modified xsi:type="dcterms:W3CDTF">2023-09-29T14:57:00Z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d07c19d1-4732-4e36-938e-c3cf23808f51</vt:lpwstr>
  </property>
</Properties>
</file>