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034E9B" w14:textId="075B263F" w:rsidR="00EC499C" w:rsidRDefault="00680351">
      <w:r>
        <w:t>CASES 8DEC2023</w:t>
      </w:r>
    </w:p>
    <w:p w14:paraId="274D8943" w14:textId="77777777" w:rsidR="00680351" w:rsidRDefault="00680351"/>
    <w:p w14:paraId="48A2831C" w14:textId="77777777" w:rsidR="00E60337" w:rsidRDefault="00E60337" w:rsidP="00E60337">
      <w:r>
        <w:t>USA v. Hunter</w:t>
      </w:r>
    </w:p>
    <w:p w14:paraId="1D8CA436" w14:textId="77777777" w:rsidR="00E60337" w:rsidRDefault="00E60337" w:rsidP="00E60337"/>
    <w:p w14:paraId="378479B1" w14:textId="77777777" w:rsidR="00E60337" w:rsidRDefault="00E60337" w:rsidP="00E60337">
      <w:r>
        <w:t>Court: US Court of Appeals for the Third Circuit</w:t>
      </w:r>
    </w:p>
    <w:p w14:paraId="703D5F7A" w14:textId="77777777" w:rsidR="00E60337" w:rsidRDefault="00E60337" w:rsidP="00E60337"/>
    <w:p w14:paraId="7D84C5E6" w14:textId="77777777" w:rsidR="00E60337" w:rsidRDefault="00E60337" w:rsidP="00E60337">
      <w:r>
        <w:t>Docket: 21-3316</w:t>
      </w:r>
    </w:p>
    <w:p w14:paraId="69A90F0C" w14:textId="77777777" w:rsidR="00E60337" w:rsidRDefault="00E60337" w:rsidP="00E60337"/>
    <w:p w14:paraId="15B3415D" w14:textId="77777777" w:rsidR="00E60337" w:rsidRDefault="00E60337" w:rsidP="00E60337">
      <w:r>
        <w:t>Opinion Date: December 5, 2023</w:t>
      </w:r>
    </w:p>
    <w:p w14:paraId="18DF45E2" w14:textId="77777777" w:rsidR="00E60337" w:rsidRDefault="00E60337" w:rsidP="00E60337"/>
    <w:p w14:paraId="4888B250" w14:textId="77777777" w:rsidR="00E60337" w:rsidRDefault="00E60337" w:rsidP="00E60337">
      <w:r>
        <w:t>Areas of Law: Constitutional Law, Criminal Law</w:t>
      </w:r>
    </w:p>
    <w:p w14:paraId="3F2D7E48" w14:textId="77777777" w:rsidR="00E60337" w:rsidRDefault="00E60337" w:rsidP="00E60337"/>
    <w:p w14:paraId="4F52541E" w14:textId="77777777" w:rsidR="00E60337" w:rsidRDefault="00E60337" w:rsidP="00E60337">
      <w:r>
        <w:t>A traffic stop conducted by Pennsylvania State Trooper Galen Clemons resulted in the arrest of Jamar Hunter after a loaded Glock-45 semi-automatic handgun was discovered in Hunter's waistband. This discovery followed a routine license and warrant check and an additional computerized criminal history check on Hunter and his passenger, Deshaun Davis. Hunter was later indicted for possession of a firearm as a convicted felon. Hunter moved to suppress the firearm evidence claiming that the computerized criminal history check extended the traffic stop beyond its constitutional authority.</w:t>
      </w:r>
    </w:p>
    <w:p w14:paraId="2471D313" w14:textId="77777777" w:rsidR="00E60337" w:rsidRDefault="00E60337" w:rsidP="00E60337"/>
    <w:p w14:paraId="3DBB4104" w14:textId="77777777" w:rsidR="00E60337" w:rsidRDefault="00E60337" w:rsidP="00E60337">
      <w:r>
        <w:t>The United States District Court for the Eastern District of Pennsylvania granted Hunter's motion to suppress. The court reasoned that the computerized criminal history check was unrelated to the traffic stop's mission and, without reasonable suspicion, prolonged the stop, therefore violating the Fourth Amendment.</w:t>
      </w:r>
    </w:p>
    <w:p w14:paraId="53BA0A5F" w14:textId="77777777" w:rsidR="00E60337" w:rsidRDefault="00E60337" w:rsidP="00E60337"/>
    <w:p w14:paraId="2470F2DE" w14:textId="232CC923" w:rsidR="00680351" w:rsidRDefault="00E60337" w:rsidP="00E60337">
      <w:r>
        <w:t>The United States Court of Appeals for the Third Circuit reversed the District Court’s decision, finding that the lower court had applied a subjective standard of review, thereby erring as a matter of law. The appellate court held that the criminal history check, which lasted approximately two minutes, was an objectively reasonable safety precaution related to the mission of the traffic stop under Rodriguez v. United States, 575 U.S. 348 (2015) and the Fourth Amendment. The Court of Appeals found the check to be a negligibly burdensome officer safety precaution that fell within the stop's mission. The case was remanded for further proceedings consistent with this opinion.</w:t>
      </w:r>
    </w:p>
    <w:p w14:paraId="42CE650C" w14:textId="77777777" w:rsidR="00E60337" w:rsidRDefault="00E60337" w:rsidP="00E60337"/>
    <w:p w14:paraId="4AFF78D4" w14:textId="77777777" w:rsidR="00E60337" w:rsidRDefault="00E60337" w:rsidP="00E60337"/>
    <w:p w14:paraId="41A812DF" w14:textId="77777777" w:rsidR="00E60337" w:rsidRDefault="00E60337" w:rsidP="00E60337">
      <w:r>
        <w:t>State v. Vasquez-Salas</w:t>
      </w:r>
    </w:p>
    <w:p w14:paraId="67E8C63B" w14:textId="77777777" w:rsidR="00E60337" w:rsidRDefault="00E60337" w:rsidP="00E60337"/>
    <w:p w14:paraId="6809C1BD" w14:textId="77777777" w:rsidR="00E60337" w:rsidRDefault="00E60337" w:rsidP="00E60337">
      <w:r>
        <w:t>Court: New Mexico Supreme Court</w:t>
      </w:r>
    </w:p>
    <w:p w14:paraId="595A569C" w14:textId="77777777" w:rsidR="00E60337" w:rsidRDefault="00E60337" w:rsidP="00E60337"/>
    <w:p w14:paraId="79B98E89" w14:textId="77777777" w:rsidR="00E60337" w:rsidRDefault="00E60337" w:rsidP="00E60337">
      <w:r>
        <w:t>Citation: 2023-NMSC-023</w:t>
      </w:r>
    </w:p>
    <w:p w14:paraId="5E9E253D" w14:textId="77777777" w:rsidR="00E60337" w:rsidRDefault="00E60337" w:rsidP="00E60337"/>
    <w:p w14:paraId="74077E95" w14:textId="77777777" w:rsidR="00E60337" w:rsidRDefault="00E60337" w:rsidP="00E60337">
      <w:r>
        <w:t>Opinion Date: August 14, 2023</w:t>
      </w:r>
    </w:p>
    <w:p w14:paraId="5E9009C5" w14:textId="77777777" w:rsidR="00E60337" w:rsidRDefault="00E60337" w:rsidP="00E60337"/>
    <w:p w14:paraId="56D3BD48" w14:textId="77777777" w:rsidR="00E60337" w:rsidRDefault="00E60337" w:rsidP="00E60337">
      <w:r>
        <w:t>Areas of Law: Constitutional Law, Criminal Law</w:t>
      </w:r>
    </w:p>
    <w:p w14:paraId="14115085" w14:textId="77777777" w:rsidR="00E60337" w:rsidRDefault="00E60337" w:rsidP="00E60337"/>
    <w:p w14:paraId="774ABE3A" w14:textId="77777777" w:rsidR="00E60337" w:rsidRDefault="00E60337" w:rsidP="00E60337">
      <w:r>
        <w:t xml:space="preserve">The Supreme Court of the State of New Mexico affirmed a lower court's decision denying a defendant's motion to suppress evidence. The case involves Hugo Vasquez-Salas, a passenger in a car that was pulled over for a broken rear license-plate light. Upon approaching the vehicle, Officer Stacy noticed a partially open backpack containing bolt cutters, protective eyeglasses, gloves, and a face mask. After determining that the driver was an unlicensed minor, Officer Stacy asked Vasquez-Salas for his identifying </w:t>
      </w:r>
      <w:r>
        <w:lastRenderedPageBreak/>
        <w:t>information. Vasquez-Salas provided inconsistent answers about his age and was later found to have given a false name.</w:t>
      </w:r>
    </w:p>
    <w:p w14:paraId="0970B4F4" w14:textId="77777777" w:rsidR="00E60337" w:rsidRDefault="00E60337" w:rsidP="00E60337"/>
    <w:p w14:paraId="43DAAE1C" w14:textId="77777777" w:rsidR="00E60337" w:rsidRDefault="00E60337" w:rsidP="00E60337">
      <w:r>
        <w:t>The court held that the officer's inquiry into Vasquez-Salas's identifying information was permissible under both the Fourth Amendment of the United States Constitution and Article II, Section 10 of the New Mexico Constitution. The court found that Officer Stacy had reasonable suspicion to expand the investigation beyond the initial traffic stop based on the totality of the circumstances, which included the time of the stop, the items found in the backpack, the driver's and Vasquez-Salas's unusual behavior, the driver's status as an unlicensed minor, and Vasquez-Salas's false identifying information.</w:t>
      </w:r>
    </w:p>
    <w:p w14:paraId="37564E3A" w14:textId="77777777" w:rsidR="00E60337" w:rsidRDefault="00E60337" w:rsidP="00E60337"/>
    <w:p w14:paraId="21E462A3" w14:textId="0503C9AF" w:rsidR="00E60337" w:rsidRDefault="00E60337" w:rsidP="00E60337">
      <w:r>
        <w:t xml:space="preserve">The court further clarified that the primary inquiry under the Fourth Amendment in cases where the legality of the initial stop is uncontested is whether the officer's questions extended the time that a driver was detained, regardless of the questions’ content. The court also overruled a previous case, State v. </w:t>
      </w:r>
      <w:proofErr w:type="spellStart"/>
      <w:r>
        <w:t>Affsprung</w:t>
      </w:r>
      <w:proofErr w:type="spellEnd"/>
      <w:r>
        <w:t>, which held that an officer's questions about a passenger's identifiers violated the Fourth Amendment because the officer had no reasonable suspicion that the passenger was engaged in criminal activity. The court stated that this holding no longer aligns with current Fourth Amendment jurisprudence.</w:t>
      </w:r>
    </w:p>
    <w:p w14:paraId="747EEEB5" w14:textId="77777777" w:rsidR="00E60337" w:rsidRDefault="00E60337" w:rsidP="00E60337"/>
    <w:p w14:paraId="2ADABF7B" w14:textId="77777777" w:rsidR="00E60337" w:rsidRDefault="00E60337" w:rsidP="00E60337"/>
    <w:p w14:paraId="139D5C8B" w14:textId="77777777" w:rsidR="00E60337" w:rsidRDefault="00E60337" w:rsidP="00E60337">
      <w:r>
        <w:t>Thomas v. City of Harrisburg</w:t>
      </w:r>
    </w:p>
    <w:p w14:paraId="16F40B34" w14:textId="77777777" w:rsidR="00E60337" w:rsidRDefault="00E60337" w:rsidP="00E60337"/>
    <w:p w14:paraId="2B5E810A" w14:textId="77777777" w:rsidR="00E60337" w:rsidRDefault="00E60337" w:rsidP="00E60337">
      <w:r>
        <w:t>Court: US Court of Appeals for the Third Circuit</w:t>
      </w:r>
    </w:p>
    <w:p w14:paraId="63892A7B" w14:textId="77777777" w:rsidR="00E60337" w:rsidRDefault="00E60337" w:rsidP="00E60337"/>
    <w:p w14:paraId="202FA653" w14:textId="77777777" w:rsidR="00E60337" w:rsidRDefault="00E60337" w:rsidP="00E60337">
      <w:r>
        <w:t>Docket: 21-2963</w:t>
      </w:r>
    </w:p>
    <w:p w14:paraId="5F0C785F" w14:textId="77777777" w:rsidR="00E60337" w:rsidRDefault="00E60337" w:rsidP="00E60337"/>
    <w:p w14:paraId="7C72B384" w14:textId="77777777" w:rsidR="00E60337" w:rsidRDefault="00E60337" w:rsidP="00E60337">
      <w:r>
        <w:t>Opinion Date: December 6, 2023</w:t>
      </w:r>
    </w:p>
    <w:p w14:paraId="575DDB71" w14:textId="77777777" w:rsidR="00E60337" w:rsidRDefault="00E60337" w:rsidP="00E60337"/>
    <w:p w14:paraId="46B86E12" w14:textId="77777777" w:rsidR="00E60337" w:rsidRDefault="00E60337" w:rsidP="00E60337">
      <w:r>
        <w:t>Areas of Law: Civil Rights, Government &amp; Administrative Law</w:t>
      </w:r>
    </w:p>
    <w:p w14:paraId="2C637139" w14:textId="77777777" w:rsidR="00E60337" w:rsidRDefault="00E60337" w:rsidP="00E60337"/>
    <w:p w14:paraId="7DFB5286" w14:textId="77777777" w:rsidR="00E60337" w:rsidRDefault="00E60337" w:rsidP="00E60337">
      <w:r>
        <w:t xml:space="preserve">The United States Court of Appeals for the Third Circuit reviewed a case involving the estate of Terelle Thomas who died after ingesting a large amount of cocaine while in police custody. The plaintiffs, acting on behalf of the estate, brought a suit against the City of Harrisburg, </w:t>
      </w:r>
      <w:proofErr w:type="spellStart"/>
      <w:r>
        <w:t>PrimeCare</w:t>
      </w:r>
      <w:proofErr w:type="spellEnd"/>
      <w:r>
        <w:t xml:space="preserve"> Medical, and several individual law enforcement officers, alleging that they failed to render medical care and intervene to prevent a violation of the right to medical care. The officers moved to dismiss the case on the grounds of qualified immunity, but the District Court denied the motion.</w:t>
      </w:r>
    </w:p>
    <w:p w14:paraId="2D99CF13" w14:textId="77777777" w:rsidR="00E60337" w:rsidRDefault="00E60337" w:rsidP="00E60337"/>
    <w:p w14:paraId="00A9D111" w14:textId="77777777" w:rsidR="00E60337" w:rsidRDefault="00E60337" w:rsidP="00E60337">
      <w:r>
        <w:t xml:space="preserve">On appeal, the Third Circuit affirmed in part and reversed in part. The court held that the officers were not entitled to qualified immunity for the failure to render medical care claim as the plaintiffs successfully alleged a violation of the constitutional right to medical care. The court found that the officers had a clear indication that Thomas had ingested a significant </w:t>
      </w:r>
      <w:proofErr w:type="gramStart"/>
      <w:r>
        <w:t>amount</w:t>
      </w:r>
      <w:proofErr w:type="gramEnd"/>
      <w:r>
        <w:t xml:space="preserve"> of drugs and thus had a serious medical need, and their decision to book Thomas instead of taking him to a hospital demonstrated deliberate indifference to that need.</w:t>
      </w:r>
    </w:p>
    <w:p w14:paraId="0DC61F65" w14:textId="77777777" w:rsidR="00E60337" w:rsidRDefault="00E60337" w:rsidP="00E60337"/>
    <w:p w14:paraId="3B705936" w14:textId="04AF0B3C" w:rsidR="00E60337" w:rsidRDefault="00E60337" w:rsidP="00E60337">
      <w:r>
        <w:t>However, the court reversed on the failure to intervene claim. The court noted that neither the Third Circuit nor the Supreme Court had recognized a right to intervene in the context of rendering medical care. Therefore, the officers were entitled to qualified immunity on the failure to intervene claim. The case was remanded to the District Court with instructions to dismiss the failure to intervene claim.</w:t>
      </w:r>
    </w:p>
    <w:p w14:paraId="49895B1F" w14:textId="77777777" w:rsidR="00E60337" w:rsidRDefault="00E60337" w:rsidP="00E60337"/>
    <w:p w14:paraId="12AF343C" w14:textId="77777777" w:rsidR="00E60337" w:rsidRDefault="00E60337" w:rsidP="00E60337"/>
    <w:p w14:paraId="7A9A16F4" w14:textId="77777777" w:rsidR="00E60337" w:rsidRDefault="00E60337" w:rsidP="00E60337"/>
    <w:p w14:paraId="489AA037" w14:textId="77777777" w:rsidR="00803D45" w:rsidRDefault="00803D45" w:rsidP="00803D45">
      <w:r>
        <w:t>State of Iowa v. Geddes</w:t>
      </w:r>
    </w:p>
    <w:p w14:paraId="6F014B13" w14:textId="77777777" w:rsidR="00803D45" w:rsidRDefault="00803D45" w:rsidP="00803D45"/>
    <w:p w14:paraId="1FAA03BA" w14:textId="77777777" w:rsidR="00803D45" w:rsidRDefault="00803D45" w:rsidP="00803D45">
      <w:r>
        <w:t>Court: Iowa Supreme Court</w:t>
      </w:r>
    </w:p>
    <w:p w14:paraId="585DB8BB" w14:textId="77777777" w:rsidR="00803D45" w:rsidRDefault="00803D45" w:rsidP="00803D45"/>
    <w:p w14:paraId="1E84C6B0" w14:textId="77777777" w:rsidR="00803D45" w:rsidRDefault="00803D45" w:rsidP="00803D45">
      <w:r>
        <w:t>Docket: 22-1009</w:t>
      </w:r>
    </w:p>
    <w:p w14:paraId="66C6FEDD" w14:textId="77777777" w:rsidR="00803D45" w:rsidRDefault="00803D45" w:rsidP="00803D45"/>
    <w:p w14:paraId="7B2C5593" w14:textId="77777777" w:rsidR="00803D45" w:rsidRDefault="00803D45" w:rsidP="00803D45">
      <w:r>
        <w:t>Opinion Date: December 1, 2023</w:t>
      </w:r>
    </w:p>
    <w:p w14:paraId="6EDBDAD1" w14:textId="77777777" w:rsidR="00803D45" w:rsidRDefault="00803D45" w:rsidP="00803D45"/>
    <w:p w14:paraId="03666BDB" w14:textId="77777777" w:rsidR="00803D45" w:rsidRDefault="00803D45" w:rsidP="00803D45">
      <w:r>
        <w:t>Areas of Law: Civil Rights, Criminal Law</w:t>
      </w:r>
    </w:p>
    <w:p w14:paraId="0B4461A4" w14:textId="77777777" w:rsidR="00803D45" w:rsidRDefault="00803D45" w:rsidP="00803D45"/>
    <w:p w14:paraId="59628314" w14:textId="77777777" w:rsidR="00803D45" w:rsidRDefault="00803D45" w:rsidP="00803D45">
      <w:r>
        <w:t>In a case before the Supreme Court of Iowa, the defendant, Robert Clark Geddes, was charged with trespass as a hate crime. The defendant had trespassed onto various properties, leaving behind anonymous notes that urged the residents to "Burn that gay flag." The homes targeted by the defendant were displaying LGBTQ+ flags or decals. Geddes appealed his conviction, arguing that the evidence was insufficient and that his convictions violated his rights to free speech and due process.</w:t>
      </w:r>
    </w:p>
    <w:p w14:paraId="334B8071" w14:textId="77777777" w:rsidR="00803D45" w:rsidRDefault="00803D45" w:rsidP="00803D45"/>
    <w:p w14:paraId="728B3149" w14:textId="77777777" w:rsidR="00803D45" w:rsidRDefault="00803D45" w:rsidP="00803D45">
      <w:r>
        <w:t>The court rejected the defendant's arguments and affirmed his convictions. The court ruled that Geddes was not being punished for his speech, but rather for his conduct—trespassing onto properties with the intent to commit a hate crime. The court found that the statute under which Geddes was convicted does not criminalize speech, but rather conduct with a specific intent—namely, trespassing on property because of the property owner or possessor's association with persons of a certain sexual orientation. The court also found that there was sufficient evidence to support Geddes's conviction.</w:t>
      </w:r>
    </w:p>
    <w:p w14:paraId="60EEAD3C" w14:textId="77777777" w:rsidR="00803D45" w:rsidRDefault="00803D45" w:rsidP="00803D45"/>
    <w:p w14:paraId="44F33B39" w14:textId="3F78D068" w:rsidR="00E60337" w:rsidRDefault="00803D45" w:rsidP="00803D45">
      <w:r>
        <w:t>The court held that the defendant's conduct of surreptitiously entering onto properties to post his harassing notes was not protected under the First Amendment rights. The court noted that hate crime laws are designed to punish conduct, not expression, and Geddes's motive or intent led to the more serious criminal consequence. The court also rejected the defendant's argument that the trespass law was vague or overbroad, finding that it provides sufficient guidance to those enforcing it and does not intrude on protected freedoms.</w:t>
      </w:r>
    </w:p>
    <w:p w14:paraId="633BF57E" w14:textId="77777777" w:rsidR="00803D45" w:rsidRDefault="00803D45" w:rsidP="00803D45"/>
    <w:p w14:paraId="2932CD3A" w14:textId="77777777" w:rsidR="00803D45" w:rsidRDefault="00803D45" w:rsidP="00803D45"/>
    <w:p w14:paraId="712DF9A7" w14:textId="77777777" w:rsidR="00803D45" w:rsidRDefault="00803D45" w:rsidP="00803D45"/>
    <w:p w14:paraId="2D82FD38" w14:textId="77777777" w:rsidR="00803D45" w:rsidRDefault="00803D45" w:rsidP="00803D45"/>
    <w:sectPr w:rsidR="00803D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351"/>
    <w:rsid w:val="00680351"/>
    <w:rsid w:val="00803D45"/>
    <w:rsid w:val="009736FB"/>
    <w:rsid w:val="00E60337"/>
    <w:rsid w:val="00EC4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06D71B"/>
  <w15:chartTrackingRefBased/>
  <w15:docId w15:val="{1C0289E5-8A34-43AF-BAE8-14DC7F19C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1124</Words>
  <Characters>6145</Characters>
  <Application>Microsoft Office Word</Application>
  <DocSecurity>0</DocSecurity>
  <Lines>130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2</cp:revision>
  <dcterms:created xsi:type="dcterms:W3CDTF">2023-12-08T14:35:00Z</dcterms:created>
  <dcterms:modified xsi:type="dcterms:W3CDTF">2023-12-08T15:00:00Z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798b6b98-9a0a-4563-b046-df86c88c0445</vt:lpwstr>
  </property>
</Properties>
</file>