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0B44B" w14:textId="7BC0868B" w:rsidR="00DF4922" w:rsidRDefault="009639A3">
      <w:r>
        <w:t>CASES  05JAN2024</w:t>
      </w:r>
    </w:p>
    <w:p w14:paraId="41F2AAEE" w14:textId="77777777" w:rsidR="009639A3" w:rsidRDefault="009639A3"/>
    <w:p w14:paraId="52E1EF46" w14:textId="77777777" w:rsidR="009639A3" w:rsidRDefault="009639A3" w:rsidP="009639A3"/>
    <w:p w14:paraId="1980C726" w14:textId="77777777" w:rsidR="00532E9A" w:rsidRDefault="00532E9A" w:rsidP="00532E9A"/>
    <w:p w14:paraId="7C64CC00" w14:textId="77777777" w:rsidR="00532E9A" w:rsidRDefault="00532E9A" w:rsidP="00532E9A">
      <w:r>
        <w:t>US v. Claybrooks</w:t>
      </w:r>
    </w:p>
    <w:p w14:paraId="41F31BFA" w14:textId="77777777" w:rsidR="00532E9A" w:rsidRDefault="00532E9A" w:rsidP="00532E9A"/>
    <w:p w14:paraId="268528F4" w14:textId="77777777" w:rsidR="00532E9A" w:rsidRDefault="00532E9A" w:rsidP="00532E9A">
      <w:r>
        <w:t>Court: US Court of Appeals for the Fourth Circuit</w:t>
      </w:r>
    </w:p>
    <w:p w14:paraId="5D80D807" w14:textId="77777777" w:rsidR="00532E9A" w:rsidRDefault="00532E9A" w:rsidP="00532E9A"/>
    <w:p w14:paraId="32EC7802" w14:textId="77777777" w:rsidR="00532E9A" w:rsidRDefault="00532E9A" w:rsidP="00532E9A">
      <w:r>
        <w:t>Docket: 22-4426</w:t>
      </w:r>
    </w:p>
    <w:p w14:paraId="34C4BB0C" w14:textId="77777777" w:rsidR="00532E9A" w:rsidRDefault="00532E9A" w:rsidP="00532E9A"/>
    <w:p w14:paraId="7A48786C" w14:textId="77777777" w:rsidR="00532E9A" w:rsidRDefault="00532E9A" w:rsidP="00532E9A">
      <w:r>
        <w:t>Opinion Date: January 4, 2024</w:t>
      </w:r>
    </w:p>
    <w:p w14:paraId="4940C8DC" w14:textId="77777777" w:rsidR="00532E9A" w:rsidRDefault="00532E9A" w:rsidP="00532E9A"/>
    <w:p w14:paraId="5566830D" w14:textId="77777777" w:rsidR="00532E9A" w:rsidRDefault="00532E9A" w:rsidP="00532E9A">
      <w:r>
        <w:t>Areas of Law: Constitutional Law, Criminal Law</w:t>
      </w:r>
    </w:p>
    <w:p w14:paraId="58BE6F79" w14:textId="77777777" w:rsidR="00532E9A" w:rsidRDefault="00532E9A" w:rsidP="00532E9A"/>
    <w:p w14:paraId="1A3C9749" w14:textId="1CC7686D" w:rsidR="009639A3" w:rsidRDefault="00532E9A" w:rsidP="00532E9A">
      <w:r>
        <w:t>In this case, the defendant, Jahsir Claybrooks, pleaded guilty to possession of a stolen firearm. The probation office determined that at the time of the offense, Claybrooks was an unlawful user of controlled substances and under indictment for a felony, making him a "prohibited person" not allowed to possess a firearm. As a result, his sentence was calculated based on this status. Claybrooks challenged this designation, arguing that he was not an unlawful drug user and that the statute was unconstitutionally vague. He also asserted that the district court erred in determining he was under indictment at the time of his offense and in imposing a sentence above the recommended guidelines. Finally, Claybrooks argued that the district court should have conducted an analysis of the firearms statutes at issue in accordance with a recent Supreme Court case. The United States Court of Appeals for the Fourth Circuit affirmed the district court's decision, concluding that the district court did not commit reversible error. The court found that the district court correctly determined that Claybrooks was an unlawful user of controlled substances at the time of the offense, the relevant statute was not unconstitutionally vague, and the district court did not err in imposing an above-guidelines sentence. The court also dismissed Claybrooks' argument regarding the need for an analysis of the firearms statutes, as he raised this issue for the first time on appeal.</w:t>
      </w:r>
    </w:p>
    <w:p w14:paraId="75619347" w14:textId="77777777" w:rsidR="009639A3" w:rsidRDefault="009639A3" w:rsidP="009639A3"/>
    <w:p w14:paraId="5275691C" w14:textId="77777777" w:rsidR="009639A3" w:rsidRDefault="009639A3" w:rsidP="009639A3"/>
    <w:p w14:paraId="3AA43E4F" w14:textId="77777777" w:rsidR="009639A3" w:rsidRDefault="009639A3" w:rsidP="009639A3"/>
    <w:p w14:paraId="3A59DD6E" w14:textId="7D4E29BD" w:rsidR="009639A3" w:rsidRDefault="009639A3" w:rsidP="009639A3">
      <w:r>
        <w:t>P. v. Alvarez</w:t>
      </w:r>
    </w:p>
    <w:p w14:paraId="24908F4B" w14:textId="77777777" w:rsidR="009639A3" w:rsidRDefault="009639A3" w:rsidP="009639A3"/>
    <w:p w14:paraId="58D5EAEA" w14:textId="77777777" w:rsidR="009639A3" w:rsidRDefault="009639A3" w:rsidP="009639A3">
      <w:r>
        <w:t>Court: California Courts of Appeal</w:t>
      </w:r>
    </w:p>
    <w:p w14:paraId="21A1F577" w14:textId="77777777" w:rsidR="009639A3" w:rsidRDefault="009639A3" w:rsidP="009639A3"/>
    <w:p w14:paraId="5D52A3A1" w14:textId="77777777" w:rsidR="009639A3" w:rsidRDefault="009639A3" w:rsidP="009639A3">
      <w:r>
        <w:t>Docket: D080585(Fourth Appellate District)</w:t>
      </w:r>
    </w:p>
    <w:p w14:paraId="465C49AE" w14:textId="77777777" w:rsidR="009639A3" w:rsidRDefault="009639A3" w:rsidP="009639A3"/>
    <w:p w14:paraId="5D836B28" w14:textId="77777777" w:rsidR="009639A3" w:rsidRDefault="009639A3" w:rsidP="009639A3">
      <w:r>
        <w:t>Opinion Date: December 29, 2023</w:t>
      </w:r>
    </w:p>
    <w:p w14:paraId="15B2BA4C" w14:textId="77777777" w:rsidR="009639A3" w:rsidRDefault="009639A3" w:rsidP="009639A3"/>
    <w:p w14:paraId="04A1A425" w14:textId="77777777" w:rsidR="009639A3" w:rsidRDefault="009639A3" w:rsidP="009639A3">
      <w:r>
        <w:t>Areas of Law: Constitutional Law, Criminal Law</w:t>
      </w:r>
    </w:p>
    <w:p w14:paraId="4822CB33" w14:textId="77777777" w:rsidR="009639A3" w:rsidRDefault="009639A3" w:rsidP="009639A3"/>
    <w:p w14:paraId="79DA405C" w14:textId="77777777" w:rsidR="009639A3" w:rsidRDefault="009639A3" w:rsidP="009639A3">
      <w:r>
        <w:t xml:space="preserve">In this appeal, the court considered the constitutionality of a warrantless blood draw from a person involved in a car accident, where unconsciousness or unresponsiveness occurred in a hospital about 90 minutes after the incident. The defendant, Francisco Andres Alvarez, was involved in a fatal car accident and was transported to the hospital. He appeared unresponsive approximately 90 minutes after the accident. An officer, suspecting Alvarez was under the influence of alcohol, requested a blood draw </w:t>
      </w:r>
      <w:r>
        <w:lastRenderedPageBreak/>
        <w:t>without obtaining a warrant. The blood test revealed a 0.05 percent blood alcohol level with the presence of cocaine and THC.</w:t>
      </w:r>
    </w:p>
    <w:p w14:paraId="44E40BA6" w14:textId="77777777" w:rsidR="009639A3" w:rsidRDefault="009639A3" w:rsidP="009639A3"/>
    <w:p w14:paraId="7B9FAD74" w14:textId="77777777" w:rsidR="009639A3" w:rsidRDefault="009639A3" w:rsidP="009639A3">
      <w:r>
        <w:t>Alvarez moved to suppress the blood testing results, arguing that the officer had ample time to obtain a warrant and that no exigent circumstances justified a warrantless blood draw. The trial court initially granted the motion, but later, following a U.S. Supreme Court decision (Mitchell v. Wisconsin), the court reconsidered and denied the motion, ruling that exigent circumstances permitted a blood test without a warrant.</w:t>
      </w:r>
    </w:p>
    <w:p w14:paraId="37CE264A" w14:textId="77777777" w:rsidR="009639A3" w:rsidRDefault="009639A3" w:rsidP="009639A3"/>
    <w:p w14:paraId="75E397ED" w14:textId="7A9FB521" w:rsidR="009639A3" w:rsidRDefault="009639A3" w:rsidP="009639A3">
      <w:r>
        <w:t>On appeal, the Court of Appeal for the Fourth Appellate District of the State of California reversed the judgment and remanded the case. The court concluded that no exigent circumstances, as defined in Mitchell v. Wisconsin or Schmerber v. California, allowed a warrantless blood draw in this case. The court found that the officer had ample time to obtain a warrant and no emergency medical interventions were required that would have justified the warrantless blood draw. Furthermore, the court found that the officer did not reasonably and in good faith rely on California's implied consent statute, which allows for a blood draw without a warrant if the driver is unconscious or otherwise incapable of refusal. The court remanded the case with instructions to grant Alvarez's motion to suppress the blood test results and allow him to withdraw his guilty plea.</w:t>
      </w:r>
    </w:p>
    <w:p w14:paraId="2BC37DA7" w14:textId="77777777" w:rsidR="00532E9A" w:rsidRDefault="00532E9A" w:rsidP="009639A3"/>
    <w:p w14:paraId="0A1F6F72" w14:textId="77777777" w:rsidR="00532E9A" w:rsidRDefault="00532E9A" w:rsidP="009639A3"/>
    <w:p w14:paraId="59042EFE" w14:textId="77777777" w:rsidR="00532E9A" w:rsidRDefault="00532E9A" w:rsidP="009639A3"/>
    <w:p w14:paraId="62E12E0E" w14:textId="77777777" w:rsidR="00532E9A" w:rsidRDefault="00532E9A" w:rsidP="00532E9A">
      <w:r>
        <w:t>State v. James</w:t>
      </w:r>
    </w:p>
    <w:p w14:paraId="73B0BD9A" w14:textId="77777777" w:rsidR="00532E9A" w:rsidRDefault="00532E9A" w:rsidP="00532E9A"/>
    <w:p w14:paraId="5E66BA13" w14:textId="77777777" w:rsidR="00532E9A" w:rsidRDefault="00532E9A" w:rsidP="00532E9A">
      <w:r>
        <w:t>Court: Supreme Court of Hawaii</w:t>
      </w:r>
    </w:p>
    <w:p w14:paraId="25FD51EE" w14:textId="77777777" w:rsidR="00532E9A" w:rsidRDefault="00532E9A" w:rsidP="00532E9A"/>
    <w:p w14:paraId="023CE7F0" w14:textId="77777777" w:rsidR="00532E9A" w:rsidRDefault="00532E9A" w:rsidP="00532E9A">
      <w:r>
        <w:t>Docket: SCWC-22-0000260</w:t>
      </w:r>
    </w:p>
    <w:p w14:paraId="759A98CF" w14:textId="77777777" w:rsidR="00532E9A" w:rsidRDefault="00532E9A" w:rsidP="00532E9A"/>
    <w:p w14:paraId="46E52700" w14:textId="77777777" w:rsidR="00532E9A" w:rsidRDefault="00532E9A" w:rsidP="00532E9A">
      <w:r>
        <w:t>Opinion Date: January 3, 2024</w:t>
      </w:r>
    </w:p>
    <w:p w14:paraId="601607D6" w14:textId="77777777" w:rsidR="00532E9A" w:rsidRDefault="00532E9A" w:rsidP="00532E9A"/>
    <w:p w14:paraId="4837789B" w14:textId="77777777" w:rsidR="00532E9A" w:rsidRDefault="00532E9A" w:rsidP="00532E9A">
      <w:r>
        <w:t>Areas of Law: Constitutional Law, Criminal Law</w:t>
      </w:r>
    </w:p>
    <w:p w14:paraId="131AA050" w14:textId="77777777" w:rsidR="00532E9A" w:rsidRDefault="00532E9A" w:rsidP="00532E9A"/>
    <w:p w14:paraId="7F84D3E8" w14:textId="77777777" w:rsidR="00532E9A" w:rsidRDefault="00532E9A" w:rsidP="00532E9A">
      <w:r>
        <w:t>In a case before the Supreme Court of the State of Hawai'i, the court ruled on the suppression of text message evidence in a sexual assault prosecution. The defendant, Dylan River James, allegedly admitted to the sexual assault during a text conversation with the alleged victim, who was directed by the police to contact him. The lower court suppressed these text messages, agreeing with James' argument that his rights to self-incrimination and counsel were violated. The lower court reasoned that the alleged victim was acting as a government agent, and thus, James should have been given Miranda warnings.</w:t>
      </w:r>
    </w:p>
    <w:p w14:paraId="25C269FD" w14:textId="77777777" w:rsidR="00532E9A" w:rsidRDefault="00532E9A" w:rsidP="00532E9A"/>
    <w:p w14:paraId="2E68C862" w14:textId="77777777" w:rsidR="00532E9A" w:rsidRDefault="00532E9A" w:rsidP="00532E9A">
      <w:r>
        <w:t>The Supreme Court of the State of Hawai'i vacated the lower courts' decisions. The court ruled that James was not in custody at the time of the text exchange, and thus, Miranda warnings were not required under either the federal or state constitutions. The court also ruled that James' right to counsel had not yet been attached, as adversarial judicial criminal proceedings had not yet been initiated.</w:t>
      </w:r>
    </w:p>
    <w:p w14:paraId="04DC174B" w14:textId="77777777" w:rsidR="00532E9A" w:rsidRDefault="00532E9A" w:rsidP="00532E9A"/>
    <w:p w14:paraId="56E95173" w14:textId="0A765ADC" w:rsidR="00532E9A" w:rsidRDefault="00532E9A" w:rsidP="00532E9A">
      <w:r>
        <w:t>The court further held that the Intermediate Court of Appeals (ICA) made an error in concluding that it did not have appellate jurisdiction over the lower court's order denying the State's motion for reconsideration. The Supreme Court stated that the State's right to appeal from an order granting a defendant’s motion to suppress includes a right to appeal from a related order denying the State’s motion for reconsideration. The case has been remanded to the lower court for further proceedings.</w:t>
      </w:r>
    </w:p>
    <w:p w14:paraId="0234240C" w14:textId="77777777" w:rsidR="00532E9A" w:rsidRDefault="00532E9A" w:rsidP="00532E9A"/>
    <w:p w14:paraId="29EC6025" w14:textId="77777777" w:rsidR="00532E9A" w:rsidRDefault="00532E9A" w:rsidP="00532E9A"/>
    <w:p w14:paraId="694E25B6" w14:textId="77777777" w:rsidR="00532E9A" w:rsidRDefault="00532E9A" w:rsidP="00532E9A">
      <w:r>
        <w:t>Morgan v. Tincher</w:t>
      </w:r>
    </w:p>
    <w:p w14:paraId="76099E11" w14:textId="77777777" w:rsidR="00532E9A" w:rsidRDefault="00532E9A" w:rsidP="00532E9A"/>
    <w:p w14:paraId="6A01E20B" w14:textId="77777777" w:rsidR="00532E9A" w:rsidRDefault="00532E9A" w:rsidP="00532E9A">
      <w:r>
        <w:t>Court: US Court of Appeals for the Fourth Circuit</w:t>
      </w:r>
    </w:p>
    <w:p w14:paraId="6549A12D" w14:textId="77777777" w:rsidR="00532E9A" w:rsidRDefault="00532E9A" w:rsidP="00532E9A"/>
    <w:p w14:paraId="54B92BBD" w14:textId="77777777" w:rsidR="00532E9A" w:rsidRDefault="00532E9A" w:rsidP="00532E9A">
      <w:r>
        <w:t>Docket: 21-2060</w:t>
      </w:r>
    </w:p>
    <w:p w14:paraId="5ECFDD2E" w14:textId="77777777" w:rsidR="00532E9A" w:rsidRDefault="00532E9A" w:rsidP="00532E9A"/>
    <w:p w14:paraId="676520A6" w14:textId="77777777" w:rsidR="00532E9A" w:rsidRDefault="00532E9A" w:rsidP="00532E9A">
      <w:r>
        <w:t>Opinion Date: January 3, 2024</w:t>
      </w:r>
    </w:p>
    <w:p w14:paraId="2DA27292" w14:textId="77777777" w:rsidR="00532E9A" w:rsidRDefault="00532E9A" w:rsidP="00532E9A"/>
    <w:p w14:paraId="4C1224F4" w14:textId="77777777" w:rsidR="00532E9A" w:rsidRDefault="00532E9A" w:rsidP="00532E9A">
      <w:r>
        <w:t>Areas of Law: Civil Procedure, Civil Rights</w:t>
      </w:r>
    </w:p>
    <w:p w14:paraId="6F207D47" w14:textId="77777777" w:rsidR="00532E9A" w:rsidRDefault="00532E9A" w:rsidP="00532E9A"/>
    <w:p w14:paraId="4C73086D" w14:textId="77777777" w:rsidR="00532E9A" w:rsidRDefault="00532E9A" w:rsidP="00532E9A">
      <w:r>
        <w:t>In this case from the United States Court of Appeals for the Fourth Circuit, the plaintiff, Frank Morgan, appealed from a decision of the United States District Court for the Southern District of West Virginia. Morgan alleged that a police officer, J.D. Tincher, used excessive force during his arrest and subsequent detention, causing him serious injuries. The case proceeded to a jury trial, and the jury found in favor of Officer Tincher.</w:t>
      </w:r>
    </w:p>
    <w:p w14:paraId="74170C58" w14:textId="77777777" w:rsidR="00532E9A" w:rsidRDefault="00532E9A" w:rsidP="00532E9A"/>
    <w:p w14:paraId="33418880" w14:textId="77777777" w:rsidR="00532E9A" w:rsidRDefault="00532E9A" w:rsidP="00532E9A">
      <w:r>
        <w:t>However, after presenting his case, Morgan discovered another lawsuit against Officer Tincher, involving similar allegations of excessive force, which Tincher had failed to disclose during discovery. Morgan requested sanctions and moved for a new trial under Federal Rule of Civil Procedure 60(b)(3), alleging misconduct by the opposing party. The district court denied the motion, leading to this appeal.</w:t>
      </w:r>
    </w:p>
    <w:p w14:paraId="741E6C24" w14:textId="77777777" w:rsidR="00532E9A" w:rsidRDefault="00532E9A" w:rsidP="00532E9A"/>
    <w:p w14:paraId="4E279285" w14:textId="77777777" w:rsidR="00532E9A" w:rsidRDefault="00532E9A" w:rsidP="00532E9A">
      <w:r>
        <w:t>In its decision, the Fourth Circuit held that Officer Tincher's failure to disclose the other excessive-force lawsuit constituted misconduct under Rule 60(b)(3). It also found that Morgan had presented a meritorious claim and that the misconduct prevented him from fully presenting his case. The court further concluded that the district court had erred in its analysis of whether the undisclosed evidence would have changed the trial outcome. Lastly, the court ruled that the interest of justice in this case outweighed the interest in the finality of judgments.</w:t>
      </w:r>
    </w:p>
    <w:p w14:paraId="5F2CD274" w14:textId="77777777" w:rsidR="00532E9A" w:rsidRDefault="00532E9A" w:rsidP="00532E9A"/>
    <w:p w14:paraId="37222503" w14:textId="559299AF" w:rsidR="00532E9A" w:rsidRDefault="00532E9A" w:rsidP="00532E9A">
      <w:r>
        <w:t>Therefore, the Fourth Circuit reversed the district court's decision, vacated the final judgment in favor of Officer Tincher, and remanded the case to the district court with instructions to allow for a reasonable period of additional discovery before conducting a new trial.</w:t>
      </w:r>
    </w:p>
    <w:p w14:paraId="5A65D731" w14:textId="77777777" w:rsidR="00532E9A" w:rsidRDefault="00532E9A" w:rsidP="00532E9A"/>
    <w:p w14:paraId="04F8EFAA" w14:textId="77777777" w:rsidR="00532E9A" w:rsidRDefault="00532E9A" w:rsidP="00532E9A"/>
    <w:p w14:paraId="25B67662" w14:textId="77777777" w:rsidR="00532E9A" w:rsidRDefault="00532E9A" w:rsidP="00532E9A"/>
    <w:p w14:paraId="5CFA7482" w14:textId="77777777" w:rsidR="001E6BED" w:rsidRDefault="001E6BED" w:rsidP="001E6BED">
      <w:r>
        <w:t>USA V. GONZALEZ-GODINEZ</w:t>
      </w:r>
    </w:p>
    <w:p w14:paraId="0F5482F6" w14:textId="77777777" w:rsidR="001E6BED" w:rsidRDefault="001E6BED" w:rsidP="001E6BED"/>
    <w:p w14:paraId="3830C1C7" w14:textId="77777777" w:rsidR="001E6BED" w:rsidRDefault="001E6BED" w:rsidP="001E6BED">
      <w:r>
        <w:t>Court: US Court of Appeals for the Ninth Circuit</w:t>
      </w:r>
    </w:p>
    <w:p w14:paraId="4186C1CA" w14:textId="77777777" w:rsidR="001E6BED" w:rsidRDefault="001E6BED" w:rsidP="001E6BED"/>
    <w:p w14:paraId="69C53BB2" w14:textId="77777777" w:rsidR="001E6BED" w:rsidRDefault="001E6BED" w:rsidP="001E6BED">
      <w:r>
        <w:t>Docket: 21-50031</w:t>
      </w:r>
    </w:p>
    <w:p w14:paraId="4E900949" w14:textId="77777777" w:rsidR="001E6BED" w:rsidRDefault="001E6BED" w:rsidP="001E6BED"/>
    <w:p w14:paraId="06C10566" w14:textId="77777777" w:rsidR="001E6BED" w:rsidRDefault="001E6BED" w:rsidP="001E6BED">
      <w:r>
        <w:t>Opinion Date: January 3, 2024</w:t>
      </w:r>
    </w:p>
    <w:p w14:paraId="35F8BF4C" w14:textId="77777777" w:rsidR="001E6BED" w:rsidRDefault="001E6BED" w:rsidP="001E6BED"/>
    <w:p w14:paraId="22CF84A7" w14:textId="77777777" w:rsidR="001E6BED" w:rsidRDefault="001E6BED" w:rsidP="001E6BED">
      <w:r>
        <w:t>Areas of Law: Criminal Law, Immigration Law</w:t>
      </w:r>
    </w:p>
    <w:p w14:paraId="0E20BD6F" w14:textId="77777777" w:rsidR="001E6BED" w:rsidRDefault="001E6BED" w:rsidP="001E6BED"/>
    <w:p w14:paraId="190FF8BC" w14:textId="77777777" w:rsidR="001E6BED" w:rsidRDefault="001E6BED" w:rsidP="001E6BED">
      <w:r>
        <w:t xml:space="preserve">In the case reviewed, Mario Gonzalez-Godinez was convicted for attempted illegal entry under 8 U.S.C. § 1325(a) after being found near a border fence and admitting to being a Mexican citizen without </w:t>
      </w:r>
      <w:r>
        <w:lastRenderedPageBreak/>
        <w:t>documentation. After his arrest, a Border Patrol agent read him his Miranda rights as well as his immigration-related administrative rights. Gonzalez waived both sets of rights and then confessed to having been smuggled across the border. Gonzalez argued on appeal that the Miranda warning was inadequate and his conviction should be vacated under the corpus delicti doctrine. The United States Court of Appeals for the Ninth Circuit rejected both arguments.</w:t>
      </w:r>
    </w:p>
    <w:p w14:paraId="14C5FA9F" w14:textId="77777777" w:rsidR="001E6BED" w:rsidRDefault="001E6BED" w:rsidP="001E6BED"/>
    <w:p w14:paraId="0A2C73B1" w14:textId="77777777" w:rsidR="001E6BED" w:rsidRDefault="001E6BED" w:rsidP="001E6BED">
      <w:r>
        <w:t>Firstly, the court ruled that the Miranda warning was not inadequate despite also warning Gonzalez that the post-arrest interview may be his only chance to seek asylum. While these two warnings may have posed difficult decisions for Gonzalez, the court found them to be neither contradictory nor confusing. The court held that the government did not need to provide further clarification to the Miranda warning.</w:t>
      </w:r>
    </w:p>
    <w:p w14:paraId="665EFD2E" w14:textId="77777777" w:rsidR="001E6BED" w:rsidRDefault="001E6BED" w:rsidP="001E6BED"/>
    <w:p w14:paraId="60EFE41B" w14:textId="6523AA2C" w:rsidR="00532E9A" w:rsidRDefault="001E6BED" w:rsidP="001E6BED">
      <w:r>
        <w:t>Secondly, the court held that the corpus delicti doctrine, which requires some evidence to support a confession, did not require vacating Gonzalez's conviction. The court found that sufficient evidence supported Gonzalez’s confession, as he had twice admitted to being a Mexican citizen and his behavior at the border supported his confession. Thus, the court affirmed Gonzalez’s conviction.</w:t>
      </w:r>
    </w:p>
    <w:p w14:paraId="6859ADC0" w14:textId="77777777" w:rsidR="001E6BED" w:rsidRDefault="001E6BED" w:rsidP="001E6BED"/>
    <w:p w14:paraId="62F745B9" w14:textId="77777777" w:rsidR="001E6BED" w:rsidRDefault="001E6BED" w:rsidP="001E6BED"/>
    <w:p w14:paraId="6FA7360F" w14:textId="77777777" w:rsidR="001E6BED" w:rsidRDefault="001E6BED" w:rsidP="001E6BED">
      <w:r>
        <w:t>USA V. MOTLEY</w:t>
      </w:r>
    </w:p>
    <w:p w14:paraId="7CD1DD46" w14:textId="77777777" w:rsidR="001E6BED" w:rsidRDefault="001E6BED" w:rsidP="001E6BED"/>
    <w:p w14:paraId="1A22C224" w14:textId="77777777" w:rsidR="001E6BED" w:rsidRDefault="001E6BED" w:rsidP="001E6BED">
      <w:r>
        <w:t>Court: US Court of Appeals for the Ninth Circuit</w:t>
      </w:r>
    </w:p>
    <w:p w14:paraId="427E8E5C" w14:textId="77777777" w:rsidR="001E6BED" w:rsidRDefault="001E6BED" w:rsidP="001E6BED"/>
    <w:p w14:paraId="0C282A81" w14:textId="77777777" w:rsidR="001E6BED" w:rsidRDefault="001E6BED" w:rsidP="001E6BED">
      <w:r>
        <w:t>Docket: 21-10296</w:t>
      </w:r>
    </w:p>
    <w:p w14:paraId="7BF34A7C" w14:textId="77777777" w:rsidR="001E6BED" w:rsidRDefault="001E6BED" w:rsidP="001E6BED"/>
    <w:p w14:paraId="3F7D7D05" w14:textId="77777777" w:rsidR="001E6BED" w:rsidRDefault="001E6BED" w:rsidP="001E6BED">
      <w:r>
        <w:t>Opinion Date: December 29, 2023</w:t>
      </w:r>
    </w:p>
    <w:p w14:paraId="4C31F9F7" w14:textId="77777777" w:rsidR="001E6BED" w:rsidRDefault="001E6BED" w:rsidP="001E6BED"/>
    <w:p w14:paraId="344F47B5" w14:textId="77777777" w:rsidR="001E6BED" w:rsidRDefault="001E6BED" w:rsidP="001E6BED">
      <w:r>
        <w:t>Areas of Law: Criminal Law, Government &amp; Administrative Law</w:t>
      </w:r>
    </w:p>
    <w:p w14:paraId="607EAF76" w14:textId="77777777" w:rsidR="001E6BED" w:rsidRDefault="001E6BED" w:rsidP="001E6BED"/>
    <w:p w14:paraId="771E315C" w14:textId="77777777" w:rsidR="001E6BED" w:rsidRDefault="001E6BED" w:rsidP="001E6BED">
      <w:r>
        <w:t>In this case, the defendant, Myron Motley, was convicted and sentenced for his involvement in a conspiracy to distribute controlled substances—oxycodone and hydrocodone. Motley appealed his conviction, arguing that the evidence obtained from two GPS tracking warrants and a wiretap warrant was obtained illegally.</w:t>
      </w:r>
    </w:p>
    <w:p w14:paraId="5C587B0D" w14:textId="77777777" w:rsidR="001E6BED" w:rsidRDefault="001E6BED" w:rsidP="001E6BED"/>
    <w:p w14:paraId="49757977" w14:textId="77777777" w:rsidR="001E6BED" w:rsidRDefault="001E6BED" w:rsidP="001E6BED">
      <w:r>
        <w:t>The United States Court of Appeals for the Ninth Circuit affirmed the lower court's decision to deny Motley's motion to suppress the evidence obtained from the GPS tracking warrants. The court held that Motley had no reasonable expectation of privacy in his opioid prescription records maintained in Nevada's Prescription Monitoring Program database due to the government's long-standing and pervasive regulation of opioids. Therefore, the Fourth Amendment challenge to the GPS tracking warrants failed.</w:t>
      </w:r>
    </w:p>
    <w:p w14:paraId="3AC1989B" w14:textId="77777777" w:rsidR="001E6BED" w:rsidRDefault="001E6BED" w:rsidP="001E6BED"/>
    <w:p w14:paraId="30084C00" w14:textId="77777777" w:rsidR="001E6BED" w:rsidRDefault="001E6BED" w:rsidP="001E6BED">
      <w:r>
        <w:t>Additionally, the court affirmed the lower court's determination that the wiretap warrant was supported by probable cause and was necessary. The court found that the affidavit supporting the wiretap warrant application contained sufficient evidence establishing probable cause that Motley was engaged in a conspiracy to illegally distribute prescription opioids. The affidavit also contained enough information for the court to reasonably conclude that a wiretap was necessary to identify the full scope of the conspiracy.</w:t>
      </w:r>
    </w:p>
    <w:p w14:paraId="49585FBC" w14:textId="77777777" w:rsidR="001E6BED" w:rsidRDefault="001E6BED" w:rsidP="001E6BED"/>
    <w:p w14:paraId="40883A6C" w14:textId="5E5D90ED" w:rsidR="001E6BED" w:rsidRDefault="001E6BED" w:rsidP="001E6BED">
      <w:r>
        <w:t xml:space="preserve">The court dismissed Motley's counterarguments, stating that the government's need for a wiretap was not negated simply because it managed to obtain some evidence of a conspiracy without a wiretap. The </w:t>
      </w:r>
      <w:r>
        <w:lastRenderedPageBreak/>
        <w:t>court explained that the government has a powerful interest in identifying all conspirators and the full scope of the conspiracy. For these reasons, the court affirmed the lower court's decisions.</w:t>
      </w:r>
    </w:p>
    <w:p w14:paraId="483C14FC" w14:textId="77777777" w:rsidR="001E6BED" w:rsidRDefault="001E6BED" w:rsidP="001E6BED"/>
    <w:p w14:paraId="7C15D7A5" w14:textId="77777777" w:rsidR="001E6BED" w:rsidRDefault="001E6BED" w:rsidP="001E6BED"/>
    <w:p w14:paraId="05FEECE1" w14:textId="77777777" w:rsidR="001E6BED" w:rsidRDefault="001E6BED" w:rsidP="001E6BED"/>
    <w:p w14:paraId="5F0B9A10" w14:textId="77777777" w:rsidR="001E6BED" w:rsidRDefault="001E6BED" w:rsidP="001E6BED"/>
    <w:sectPr w:rsidR="001E6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bA0tjAyNTcxMrYwMDNX0lEKTi0uzszPAykwrAUA2xa0qCwAAAA="/>
  </w:docVars>
  <w:rsids>
    <w:rsidRoot w:val="009639A3"/>
    <w:rsid w:val="001E6BED"/>
    <w:rsid w:val="002550DE"/>
    <w:rsid w:val="003D5635"/>
    <w:rsid w:val="00532E9A"/>
    <w:rsid w:val="009639A3"/>
    <w:rsid w:val="00C04E35"/>
    <w:rsid w:val="00C26334"/>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6D0C9"/>
  <w15:chartTrackingRefBased/>
  <w15:docId w15:val="{2A770C1B-111A-4E65-92DE-BB39085E7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5</Pages>
  <Words>1619</Words>
  <Characters>9229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2024-01-05T14:24:00Z</dcterms:created>
  <dcterms:modified xsi:type="dcterms:W3CDTF">2024-01-05T16:15:00Z</dcterms:modified>
</cp:coreProperties>
</file>