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D7880" w14:textId="0E8208A5" w:rsidR="00DF4922" w:rsidRDefault="003A0002">
      <w:r>
        <w:t>CASES 29MAR2024</w:t>
      </w:r>
    </w:p>
    <w:p w14:paraId="651136F1" w14:textId="77777777" w:rsidR="003A0002" w:rsidRDefault="003A0002"/>
    <w:p w14:paraId="5EC56BF1" w14:textId="205431A7" w:rsidR="00BF0372" w:rsidRPr="00BF0372" w:rsidRDefault="00BF0372">
      <w:pPr>
        <w:rPr>
          <w:b/>
          <w:bCs/>
        </w:rPr>
      </w:pPr>
      <w:r w:rsidRPr="00BF0372">
        <w:rPr>
          <w:b/>
          <w:bCs/>
        </w:rPr>
        <w:t>FEDERAL CASES</w:t>
      </w:r>
    </w:p>
    <w:p w14:paraId="2D0EAC91" w14:textId="77777777" w:rsidR="00BF0372" w:rsidRDefault="00BF0372"/>
    <w:p w14:paraId="2BC2B748" w14:textId="77777777" w:rsidR="003A0002" w:rsidRPr="00BF0372" w:rsidRDefault="003A0002" w:rsidP="003A0002">
      <w:pPr>
        <w:rPr>
          <w:b/>
          <w:bCs/>
        </w:rPr>
      </w:pPr>
      <w:r w:rsidRPr="00BF0372">
        <w:rPr>
          <w:b/>
          <w:bCs/>
        </w:rPr>
        <w:t>United States v. Mayo</w:t>
      </w:r>
    </w:p>
    <w:p w14:paraId="19F82553" w14:textId="1C19E20B" w:rsidR="003A0002" w:rsidRDefault="003A0002" w:rsidP="003A0002">
      <w:r>
        <w:t>U</w:t>
      </w:r>
      <w:r w:rsidR="00BF0372">
        <w:t>.</w:t>
      </w:r>
      <w:r>
        <w:t>S</w:t>
      </w:r>
      <w:r w:rsidR="00BF0372">
        <w:t>.</w:t>
      </w:r>
      <w:r>
        <w:t xml:space="preserve"> Court of Appeals for the Eighth Circuit</w:t>
      </w:r>
    </w:p>
    <w:p w14:paraId="603A1AAF" w14:textId="77777777" w:rsidR="003A0002" w:rsidRDefault="003A0002" w:rsidP="003A0002">
      <w:r>
        <w:t>Docket: 23-1412</w:t>
      </w:r>
    </w:p>
    <w:p w14:paraId="223DF3A6" w14:textId="169FA385" w:rsidR="003A0002" w:rsidRDefault="003A0002" w:rsidP="003A0002">
      <w:r>
        <w:t>March 28, 2024</w:t>
      </w:r>
    </w:p>
    <w:p w14:paraId="3DB8FB3A" w14:textId="77777777" w:rsidR="003A0002" w:rsidRDefault="003A0002" w:rsidP="003A0002"/>
    <w:p w14:paraId="17576A93" w14:textId="27F62F8E" w:rsidR="003A0002" w:rsidRPr="00BF0372" w:rsidRDefault="0082682D" w:rsidP="003A0002">
      <w:pPr>
        <w:rPr>
          <w:i/>
          <w:iCs/>
        </w:rPr>
      </w:pPr>
      <w:r w:rsidRPr="00BF0372">
        <w:rPr>
          <w:i/>
          <w:iCs/>
        </w:rPr>
        <w:t xml:space="preserve">LEO LAW Topic 4-2: Even assuming the use of the camera to view </w:t>
      </w:r>
      <w:r w:rsidR="00BF0372" w:rsidRPr="00BF0372">
        <w:rPr>
          <w:i/>
          <w:iCs/>
        </w:rPr>
        <w:t xml:space="preserve">the </w:t>
      </w:r>
      <w:r w:rsidRPr="00BF0372">
        <w:rPr>
          <w:i/>
          <w:iCs/>
        </w:rPr>
        <w:t xml:space="preserve">apartment door was a violation of </w:t>
      </w:r>
      <w:r w:rsidR="00BF0372" w:rsidRPr="00BF0372">
        <w:rPr>
          <w:i/>
          <w:iCs/>
        </w:rPr>
        <w:t>th</w:t>
      </w:r>
      <w:r w:rsidRPr="00BF0372">
        <w:rPr>
          <w:i/>
          <w:iCs/>
        </w:rPr>
        <w:t>e Fourth Amendment, the warrant application sufficiently support</w:t>
      </w:r>
      <w:r w:rsidR="00BF0372" w:rsidRPr="00BF0372">
        <w:rPr>
          <w:i/>
          <w:iCs/>
        </w:rPr>
        <w:t>s</w:t>
      </w:r>
      <w:r w:rsidRPr="00BF0372">
        <w:rPr>
          <w:i/>
          <w:iCs/>
        </w:rPr>
        <w:t xml:space="preserve"> the probable cause determination with the video evidence extracted.</w:t>
      </w:r>
    </w:p>
    <w:p w14:paraId="64B51337" w14:textId="77777777" w:rsidR="0082682D" w:rsidRDefault="0082682D" w:rsidP="003A0002"/>
    <w:p w14:paraId="0FA03E4E" w14:textId="3CD44E0E" w:rsidR="003A0002" w:rsidRDefault="00BF0372" w:rsidP="003A0002">
      <w:r>
        <w:t>In this case,</w:t>
      </w:r>
      <w:r w:rsidR="003A0002">
        <w:t xml:space="preserve"> Darron Mayo</w:t>
      </w:r>
      <w:r>
        <w:t xml:space="preserve"> appealed the District Court's </w:t>
      </w:r>
      <w:r w:rsidR="003A0002">
        <w:t xml:space="preserve">denial of his motion to suppress evidence obtained from a hidden camera placed by </w:t>
      </w:r>
      <w:r>
        <w:t>law enforcement</w:t>
      </w:r>
      <w:r w:rsidR="003A0002">
        <w:t xml:space="preserve"> officers </w:t>
      </w:r>
      <w:r>
        <w:t xml:space="preserve">on the wall </w:t>
      </w:r>
      <w:r w:rsidR="003A0002">
        <w:t>across his apartment door. The evidence from this camera</w:t>
      </w:r>
      <w:r>
        <w:t>, disguised as a fire alarm,</w:t>
      </w:r>
      <w:r w:rsidR="003A0002">
        <w:t xml:space="preserve"> was used to obtain a search warrant for Mayo's apartment</w:t>
      </w:r>
      <w:r>
        <w:t>. While executing the search warrant</w:t>
      </w:r>
      <w:r w:rsidR="003A0002">
        <w:t xml:space="preserve">, </w:t>
      </w:r>
      <w:r>
        <w:t>law enforcement officers</w:t>
      </w:r>
      <w:r w:rsidR="003A0002">
        <w:t xml:space="preserve"> found drugs, paraphernalia, cash, a loaded pistol, and an iPhone containing incriminating photographs and videos.</w:t>
      </w:r>
    </w:p>
    <w:p w14:paraId="1182F2F5" w14:textId="77777777" w:rsidR="003A0002" w:rsidRDefault="003A0002" w:rsidP="003A0002"/>
    <w:p w14:paraId="1B648E00" w14:textId="77777777" w:rsidR="00BF0372" w:rsidRDefault="003A0002" w:rsidP="003A0002">
      <w:r>
        <w:t xml:space="preserve">Mayo </w:t>
      </w:r>
      <w:r w:rsidR="00BF0372">
        <w:t xml:space="preserve">put forward three arguments in his motion to suppress. First, he </w:t>
      </w:r>
      <w:r>
        <w:t xml:space="preserve">argued that </w:t>
      </w:r>
      <w:r w:rsidR="00BF0372">
        <w:t xml:space="preserve">using a hidden camera to video his front door for an extended period </w:t>
      </w:r>
      <w:r>
        <w:t>violated his Fourth Amendment rights</w:t>
      </w:r>
      <w:r w:rsidR="00BF0372">
        <w:t>.</w:t>
      </w:r>
      <w:r>
        <w:t xml:space="preserve"> </w:t>
      </w:r>
      <w:r w:rsidR="00BF0372">
        <w:t xml:space="preserve">Second, he argued that </w:t>
      </w:r>
      <w:r>
        <w:t xml:space="preserve">the search warrant was deficient </w:t>
      </w:r>
      <w:r w:rsidR="00BF0372">
        <w:t xml:space="preserve">for lack of probable cause </w:t>
      </w:r>
      <w:r>
        <w:t xml:space="preserve">after removing </w:t>
      </w:r>
      <w:r w:rsidR="00BF0372">
        <w:t xml:space="preserve">the video </w:t>
      </w:r>
      <w:r>
        <w:t xml:space="preserve">evidence obtained from the camera. </w:t>
      </w:r>
      <w:r w:rsidR="00BF0372">
        <w:t>Lastly, he</w:t>
      </w:r>
      <w:r>
        <w:t xml:space="preserve"> contended that the good-faith exception to the exclusionary rule did not apply</w:t>
      </w:r>
      <w:r w:rsidR="00BF0372">
        <w:t xml:space="preserve"> to these facts</w:t>
      </w:r>
      <w:r>
        <w:t xml:space="preserve">. </w:t>
      </w:r>
    </w:p>
    <w:p w14:paraId="067B8C6E" w14:textId="77777777" w:rsidR="00BF0372" w:rsidRDefault="00BF0372" w:rsidP="003A0002"/>
    <w:p w14:paraId="1D522813" w14:textId="014097A5" w:rsidR="003A0002" w:rsidRDefault="003A0002" w:rsidP="003A0002">
      <w:r>
        <w:t>The United States Court of Appeals for the Eighth Circuit affirmed the decision of the District Court</w:t>
      </w:r>
      <w:r w:rsidR="00BF0372">
        <w:t xml:space="preserve">. The court held that assuming the use of the camera was a Fourth Amendment violation, </w:t>
      </w:r>
      <w:r>
        <w:t xml:space="preserve">the probable cause affidavit remained sufficient </w:t>
      </w:r>
      <w:r w:rsidR="00BF0372">
        <w:t>without the</w:t>
      </w:r>
      <w:r>
        <w:t xml:space="preserve"> </w:t>
      </w:r>
      <w:r w:rsidR="00BF0372">
        <w:t xml:space="preserve">video </w:t>
      </w:r>
      <w:r>
        <w:t>evidence from the hidden camera.</w:t>
      </w:r>
      <w:r w:rsidR="00BF0372">
        <w:t xml:space="preserve"> </w:t>
      </w:r>
      <w:r>
        <w:t xml:space="preserve">The </w:t>
      </w:r>
      <w:r w:rsidR="00BF0372">
        <w:t>c</w:t>
      </w:r>
      <w:r>
        <w:t xml:space="preserve">ourt cited four sets of related facts supporting this conclusion. First, various drugs, a scale, and stolen handguns were found in a car associated with Mayo. Second, Mayo's fingerprints were found on a handgun magazine, and a video linked him to the vehicle. Third, during </w:t>
      </w:r>
      <w:r w:rsidR="00BF0372">
        <w:t>the</w:t>
      </w:r>
      <w:r>
        <w:t xml:space="preserve"> traffic stop, Mayo gave a false name, marijuana was found in the car, and he made incriminating phone calls recorded by a police dash camera. Fourth, utilities in Mayo's name connected him to the apartment in question. </w:t>
      </w:r>
      <w:r w:rsidR="00BF0372">
        <w:t>T</w:t>
      </w:r>
      <w:r>
        <w:t xml:space="preserve">hese facts indicated a fair probability that contraband or evidence of a crime would be found in his apartment. Therefore, the </w:t>
      </w:r>
      <w:r w:rsidR="00BF0372">
        <w:t>c</w:t>
      </w:r>
      <w:r>
        <w:t xml:space="preserve">ourt held that the hidden camera footage was </w:t>
      </w:r>
      <w:r w:rsidR="00BF0372">
        <w:t>un</w:t>
      </w:r>
      <w:r>
        <w:t>necessary to establish probable cause.</w:t>
      </w:r>
    </w:p>
    <w:p w14:paraId="735F0D3A" w14:textId="77777777" w:rsidR="003A0002" w:rsidRDefault="003A0002" w:rsidP="003A0002"/>
    <w:p w14:paraId="1B935DFB" w14:textId="77777777" w:rsidR="003A0002" w:rsidRDefault="003A0002" w:rsidP="003A0002"/>
    <w:p w14:paraId="12D48704" w14:textId="77777777" w:rsidR="0082682D" w:rsidRPr="00BF0372" w:rsidRDefault="0082682D" w:rsidP="0082682D">
      <w:pPr>
        <w:rPr>
          <w:b/>
          <w:bCs/>
        </w:rPr>
      </w:pPr>
      <w:r w:rsidRPr="00BF0372">
        <w:rPr>
          <w:b/>
          <w:bCs/>
        </w:rPr>
        <w:t>Farris v. Oakland County</w:t>
      </w:r>
    </w:p>
    <w:p w14:paraId="5223B3A4" w14:textId="22C78284" w:rsidR="0082682D" w:rsidRDefault="0082682D" w:rsidP="0082682D">
      <w:r>
        <w:t>U</w:t>
      </w:r>
      <w:r w:rsidR="00BF0372">
        <w:t>.</w:t>
      </w:r>
      <w:r>
        <w:t>S</w:t>
      </w:r>
      <w:r w:rsidR="00BF0372">
        <w:t>.</w:t>
      </w:r>
      <w:r>
        <w:t xml:space="preserve"> Court of Appeals for the Sixth Circuit</w:t>
      </w:r>
    </w:p>
    <w:p w14:paraId="6C963897" w14:textId="77777777" w:rsidR="0082682D" w:rsidRDefault="0082682D" w:rsidP="0082682D">
      <w:r>
        <w:t>Docket: 23-1739</w:t>
      </w:r>
    </w:p>
    <w:p w14:paraId="32758318" w14:textId="7B498691" w:rsidR="0082682D" w:rsidRDefault="0082682D" w:rsidP="0082682D">
      <w:r>
        <w:t>March 22, 2024</w:t>
      </w:r>
    </w:p>
    <w:p w14:paraId="6132F9E5" w14:textId="77777777" w:rsidR="0082682D" w:rsidRDefault="0082682D" w:rsidP="0082682D"/>
    <w:p w14:paraId="7F33A903" w14:textId="6FD8D4CF" w:rsidR="0082682D" w:rsidRPr="00BF0372" w:rsidRDefault="0082682D" w:rsidP="0082682D">
      <w:pPr>
        <w:rPr>
          <w:i/>
          <w:iCs/>
        </w:rPr>
      </w:pPr>
      <w:r w:rsidRPr="00BF0372">
        <w:rPr>
          <w:i/>
          <w:iCs/>
        </w:rPr>
        <w:t>LEO LAW Topic 8-1: The degree of force used was reasonable</w:t>
      </w:r>
      <w:r w:rsidR="00BF0372">
        <w:rPr>
          <w:i/>
          <w:iCs/>
        </w:rPr>
        <w:t>,</w:t>
      </w:r>
      <w:r w:rsidRPr="00BF0372">
        <w:rPr>
          <w:i/>
          <w:iCs/>
        </w:rPr>
        <w:t xml:space="preserve"> given the defendant</w:t>
      </w:r>
      <w:r w:rsidR="00BF0372" w:rsidRPr="00BF0372">
        <w:rPr>
          <w:i/>
          <w:iCs/>
        </w:rPr>
        <w:t>'</w:t>
      </w:r>
      <w:r w:rsidRPr="00BF0372">
        <w:rPr>
          <w:i/>
          <w:iCs/>
        </w:rPr>
        <w:t>s actions.</w:t>
      </w:r>
    </w:p>
    <w:p w14:paraId="7BE7D152" w14:textId="77777777" w:rsidR="0082682D" w:rsidRDefault="0082682D" w:rsidP="0082682D"/>
    <w:p w14:paraId="07563319" w14:textId="11AF27CB" w:rsidR="0082682D" w:rsidRDefault="0082682D" w:rsidP="0082682D">
      <w:r>
        <w:t xml:space="preserve">In this </w:t>
      </w:r>
      <w:r w:rsidR="00BF0372">
        <w:t xml:space="preserve">42 U.S.C. </w:t>
      </w:r>
      <w:r w:rsidR="00BF0372">
        <w:t>§</w:t>
      </w:r>
      <w:r w:rsidR="00BF0372">
        <w:t xml:space="preserve">1983 civil suit, </w:t>
      </w:r>
      <w:r>
        <w:t>the plaintiff</w:t>
      </w:r>
      <w:r w:rsidR="00BF0372">
        <w:t xml:space="preserve"> (</w:t>
      </w:r>
      <w:r>
        <w:t>Farris</w:t>
      </w:r>
      <w:r w:rsidR="00BF0372">
        <w:t>)</w:t>
      </w:r>
      <w:r>
        <w:t xml:space="preserve"> called 911</w:t>
      </w:r>
      <w:r w:rsidR="00BF0372">
        <w:t>,</w:t>
      </w:r>
      <w:r>
        <w:t xml:space="preserve"> alleging that another woman had damaged her car. </w:t>
      </w:r>
      <w:r w:rsidR="00BF0372">
        <w:t xml:space="preserve">After </w:t>
      </w:r>
      <w:r>
        <w:t>responding</w:t>
      </w:r>
      <w:r w:rsidR="00BF0372">
        <w:t>,</w:t>
      </w:r>
      <w:r>
        <w:t xml:space="preserve"> sheriff's deputies ended up arresting Farris instead. Farris alleged </w:t>
      </w:r>
      <w:r w:rsidR="00BF0372">
        <w:t>the deputies used excessive force</w:t>
      </w:r>
      <w:r>
        <w:t xml:space="preserve"> during her arrest and subsequent transportation to jail</w:t>
      </w:r>
      <w:r w:rsidR="00BF0372">
        <w:t>.</w:t>
      </w:r>
      <w:r>
        <w:t xml:space="preserve"> She also claimed that she was suicidal and that the deputies' actions were unreasonable given her state of mind.</w:t>
      </w:r>
    </w:p>
    <w:p w14:paraId="10F306C0" w14:textId="77777777" w:rsidR="0082682D" w:rsidRDefault="0082682D" w:rsidP="0082682D"/>
    <w:p w14:paraId="56569DDC" w14:textId="77777777" w:rsidR="0082682D" w:rsidRDefault="0082682D" w:rsidP="0082682D">
      <w:r>
        <w:t>In response, the deputies argued that they had probable cause for Farris's arrest based on corroborated eyewitness testimony and physical evidence in Farris's car. They further contended that Farris's suicidal behavior justified the level of force used to restrain and control her.</w:t>
      </w:r>
    </w:p>
    <w:p w14:paraId="53F2DDE8" w14:textId="77777777" w:rsidR="0082682D" w:rsidRDefault="0082682D" w:rsidP="0082682D"/>
    <w:p w14:paraId="2737F715" w14:textId="073C1678" w:rsidR="0082682D" w:rsidRDefault="00BF0372" w:rsidP="0082682D">
      <w:r>
        <w:t>The</w:t>
      </w:r>
      <w:r w:rsidR="0082682D">
        <w:t xml:space="preserve"> Sixth Circuit agreed with the lower </w:t>
      </w:r>
      <w:r>
        <w:t>c</w:t>
      </w:r>
      <w:r w:rsidR="0082682D">
        <w:t xml:space="preserve">ourt's decision to grant summary judgment in favor of the </w:t>
      </w:r>
      <w:r>
        <w:t>officers and the county</w:t>
      </w:r>
      <w:r w:rsidR="0082682D">
        <w:t xml:space="preserve">. The </w:t>
      </w:r>
      <w:r>
        <w:t>c</w:t>
      </w:r>
      <w:r w:rsidR="0082682D">
        <w:t>ourt found that the deputies had probable cause for Farris's arrest and that the force used was minimal and reasonably necessary</w:t>
      </w:r>
      <w:r>
        <w:t>,</w:t>
      </w:r>
      <w:r w:rsidR="0082682D">
        <w:t xml:space="preserve"> given Farris's behavior. The </w:t>
      </w:r>
      <w:r>
        <w:t>c</w:t>
      </w:r>
      <w:r w:rsidR="0082682D">
        <w:t xml:space="preserve">ourt also rejected Farris's claim that </w:t>
      </w:r>
      <w:r>
        <w:t>Oakland C</w:t>
      </w:r>
      <w:r w:rsidR="0082682D">
        <w:t xml:space="preserve">ounty had an unconstitutional policy of inadequately training its deputies </w:t>
      </w:r>
      <w:r>
        <w:t>)</w:t>
      </w:r>
      <w:r w:rsidR="0082682D">
        <w:t>finding no evidence of deliberate indifference or a pattern of excessive force</w:t>
      </w:r>
      <w:r>
        <w:t>)</w:t>
      </w:r>
      <w:r w:rsidR="0082682D">
        <w:t>.</w:t>
      </w:r>
    </w:p>
    <w:p w14:paraId="290EA664" w14:textId="77777777" w:rsidR="0082682D" w:rsidRDefault="0082682D" w:rsidP="0082682D"/>
    <w:p w14:paraId="321201ED" w14:textId="6A22980C" w:rsidR="0082682D" w:rsidRDefault="0082682D" w:rsidP="0082682D">
      <w:r>
        <w:t xml:space="preserve">The </w:t>
      </w:r>
      <w:r w:rsidR="00BF0372">
        <w:t>c</w:t>
      </w:r>
      <w:r>
        <w:t xml:space="preserve">ourt </w:t>
      </w:r>
      <w:r w:rsidR="00BF0372">
        <w:t xml:space="preserve">also </w:t>
      </w:r>
      <w:r>
        <w:t>noted that state</w:t>
      </w:r>
      <w:r w:rsidR="00BF0372">
        <w:t xml:space="preserve"> law and agency </w:t>
      </w:r>
      <w:r>
        <w:t>polic</w:t>
      </w:r>
      <w:r w:rsidR="00BF0372">
        <w:t>y may afford</w:t>
      </w:r>
      <w:r>
        <w:t xml:space="preserve"> detainees </w:t>
      </w:r>
      <w:r w:rsidR="00BF0372">
        <w:t>more protection than</w:t>
      </w:r>
      <w:r>
        <w:t xml:space="preserve"> the Constitution demands, but </w:t>
      </w:r>
      <w:r w:rsidR="00BF0372">
        <w:t xml:space="preserve">this </w:t>
      </w:r>
      <w:r>
        <w:t xml:space="preserve">was </w:t>
      </w:r>
      <w:r w:rsidR="00BF0372">
        <w:t>ir</w:t>
      </w:r>
      <w:r>
        <w:t xml:space="preserve">relevant to </w:t>
      </w:r>
      <w:r w:rsidR="00BF0372">
        <w:t xml:space="preserve">Farris' </w:t>
      </w:r>
      <w:r>
        <w:t>Fourth Amendment claim.</w:t>
      </w:r>
    </w:p>
    <w:p w14:paraId="77E0B264" w14:textId="77777777" w:rsidR="0082682D" w:rsidRDefault="0082682D" w:rsidP="0082682D"/>
    <w:p w14:paraId="07DE3405" w14:textId="77777777" w:rsidR="0082682D" w:rsidRDefault="0082682D" w:rsidP="0082682D"/>
    <w:p w14:paraId="460A39B3" w14:textId="77777777" w:rsidR="0082682D" w:rsidRPr="00BF0372" w:rsidRDefault="0082682D" w:rsidP="0082682D">
      <w:pPr>
        <w:rPr>
          <w:b/>
          <w:bCs/>
        </w:rPr>
      </w:pPr>
      <w:r w:rsidRPr="00BF0372">
        <w:rPr>
          <w:b/>
          <w:bCs/>
        </w:rPr>
        <w:t>King v. City of Rockford, MI</w:t>
      </w:r>
    </w:p>
    <w:p w14:paraId="6B552D29" w14:textId="3DBC7A8F" w:rsidR="0082682D" w:rsidRDefault="0082682D" w:rsidP="0082682D">
      <w:r>
        <w:t>U</w:t>
      </w:r>
      <w:r w:rsidR="00BF0372">
        <w:t>.</w:t>
      </w:r>
      <w:r>
        <w:t>S</w:t>
      </w:r>
      <w:r w:rsidR="00BF0372">
        <w:t>.</w:t>
      </w:r>
      <w:r>
        <w:t xml:space="preserve"> Court of Appeals for the Sixth Circuit</w:t>
      </w:r>
    </w:p>
    <w:p w14:paraId="041DB0F0" w14:textId="77777777" w:rsidR="0082682D" w:rsidRDefault="0082682D" w:rsidP="0082682D">
      <w:r>
        <w:t>Docket: 22-2038</w:t>
      </w:r>
    </w:p>
    <w:p w14:paraId="2C325337" w14:textId="0296F099" w:rsidR="0082682D" w:rsidRDefault="0082682D" w:rsidP="0082682D">
      <w:r>
        <w:t>March 28, 2024</w:t>
      </w:r>
    </w:p>
    <w:p w14:paraId="21AF2BB8" w14:textId="77777777" w:rsidR="0082682D" w:rsidRDefault="0082682D" w:rsidP="0082682D"/>
    <w:p w14:paraId="315BAB65" w14:textId="77777777" w:rsidR="00BF0372" w:rsidRPr="00BF0372" w:rsidRDefault="00BF0372" w:rsidP="0082682D">
      <w:pPr>
        <w:rPr>
          <w:i/>
          <w:iCs/>
        </w:rPr>
      </w:pPr>
      <w:r w:rsidRPr="00BF0372">
        <w:rPr>
          <w:i/>
          <w:iCs/>
        </w:rPr>
        <w:t xml:space="preserve">LEO LAW Topic 10-2: Traffic stops must be valid at inception. </w:t>
      </w:r>
    </w:p>
    <w:p w14:paraId="7C309E6D" w14:textId="5E20F4C9" w:rsidR="0082682D" w:rsidRPr="00BF0372" w:rsidRDefault="00BF0372" w:rsidP="0082682D">
      <w:pPr>
        <w:rPr>
          <w:i/>
          <w:iCs/>
        </w:rPr>
      </w:pPr>
      <w:r w:rsidRPr="00BF0372">
        <w:rPr>
          <w:i/>
          <w:iCs/>
        </w:rPr>
        <w:t>LEO LAW Topic 8-2: The application of Graham Factors to an excessive use of force claim.</w:t>
      </w:r>
    </w:p>
    <w:p w14:paraId="703ABD4C" w14:textId="77777777" w:rsidR="0082682D" w:rsidRDefault="0082682D" w:rsidP="0082682D"/>
    <w:p w14:paraId="187CF6A3" w14:textId="3824FC9C" w:rsidR="0082682D" w:rsidRDefault="0082682D" w:rsidP="0082682D">
      <w:r>
        <w:t>In</w:t>
      </w:r>
      <w:r w:rsidR="00BF0372">
        <w:t xml:space="preserve"> this case, the plaintiff (</w:t>
      </w:r>
      <w:r>
        <w:t>King</w:t>
      </w:r>
      <w:r w:rsidR="00BF0372">
        <w:t>)</w:t>
      </w:r>
      <w:r>
        <w:t xml:space="preserve"> sued Officers Abbate and Bradley, the City of Rockford, the Rockford Public Safety Department, and other municipal officers under 42 U.S.C. §1983 and state law for </w:t>
      </w:r>
      <w:r w:rsidR="00BF0372">
        <w:t>damages</w:t>
      </w:r>
      <w:r>
        <w:t xml:space="preserve"> stemming from a traffic stop</w:t>
      </w:r>
      <w:r w:rsidR="00BF0372">
        <w:t xml:space="preserve"> that the plaintiff claimed was without probable cause and the subsequent use of force</w:t>
      </w:r>
      <w:r>
        <w:t>. The district court granted partial summary judgment in favor of the defendants</w:t>
      </w:r>
      <w:r w:rsidR="00BF0372">
        <w:t xml:space="preserve"> but deni</w:t>
      </w:r>
      <w:r>
        <w:t>ed their motion for qualified immunity</w:t>
      </w:r>
      <w:r w:rsidR="00BF0372">
        <w:t xml:space="preserve">. </w:t>
      </w:r>
      <w:r>
        <w:t xml:space="preserve">The </w:t>
      </w:r>
      <w:r w:rsidR="00BF0372">
        <w:t>c</w:t>
      </w:r>
      <w:r>
        <w:t>ourt denied their motion on King</w:t>
      </w:r>
      <w:r w:rsidR="00BF0372">
        <w:t>'</w:t>
      </w:r>
      <w:r>
        <w:t xml:space="preserve">s </w:t>
      </w:r>
      <w:r w:rsidRPr="00BF0372">
        <w:rPr>
          <w:i/>
          <w:iCs/>
        </w:rPr>
        <w:t>Monell</w:t>
      </w:r>
      <w:r>
        <w:t xml:space="preserve"> claim against the City and Department. The defendants appealed this denial.</w:t>
      </w:r>
    </w:p>
    <w:p w14:paraId="0D0E7F98" w14:textId="77777777" w:rsidR="0082682D" w:rsidRDefault="0082682D" w:rsidP="0082682D"/>
    <w:p w14:paraId="10EAA465" w14:textId="1984E552" w:rsidR="0082682D" w:rsidRDefault="0082682D" w:rsidP="0082682D">
      <w:r>
        <w:t>The Sixth Circuit affirmed in part and reversed in part</w:t>
      </w:r>
      <w:r w:rsidR="00BF0372">
        <w:t xml:space="preserve">. </w:t>
      </w:r>
      <w:r>
        <w:t xml:space="preserve">The </w:t>
      </w:r>
      <w:r w:rsidR="00BF0372">
        <w:t>c</w:t>
      </w:r>
      <w:r>
        <w:t>ourt found that Abbate was entitled to qualified immunity for his takedown maneuver against King but not for the subsequent conduct on the ground.</w:t>
      </w:r>
      <w:r w:rsidR="00BF0372">
        <w:t xml:space="preserve"> </w:t>
      </w:r>
      <w:r>
        <w:t xml:space="preserve">The </w:t>
      </w:r>
      <w:r w:rsidR="00BF0372">
        <w:t>c</w:t>
      </w:r>
      <w:r>
        <w:t xml:space="preserve">ourt found </w:t>
      </w:r>
      <w:r w:rsidR="00BF0372" w:rsidRPr="00BF0372">
        <w:t>a reasonable jury could find that Abbate lacked probable cause to stop King</w:t>
      </w:r>
      <w:r w:rsidR="00BF0372">
        <w:t xml:space="preserve">, </w:t>
      </w:r>
      <w:r>
        <w:t>which defeated the officers' claims for summary judgment on King</w:t>
      </w:r>
      <w:r w:rsidR="00BF0372">
        <w:t>'</w:t>
      </w:r>
      <w:r>
        <w:t xml:space="preserve">s </w:t>
      </w:r>
      <w:r w:rsidR="00BF0372">
        <w:t>unreasonable seizure</w:t>
      </w:r>
      <w:r>
        <w:t xml:space="preserve"> claim. </w:t>
      </w:r>
      <w:r w:rsidR="00BF0372">
        <w:t>Regarding the excessive use of force claim, the c</w:t>
      </w:r>
      <w:r>
        <w:t xml:space="preserve">ourt </w:t>
      </w:r>
      <w:r w:rsidR="00BF0372">
        <w:t xml:space="preserve">applied the </w:t>
      </w:r>
      <w:r w:rsidR="00BF0372" w:rsidRPr="00BF0372">
        <w:rPr>
          <w:i/>
          <w:iCs/>
        </w:rPr>
        <w:t>Graham</w:t>
      </w:r>
      <w:r w:rsidR="00BF0372">
        <w:t xml:space="preserve"> factors and </w:t>
      </w:r>
      <w:r>
        <w:t xml:space="preserve">affirmed the district court's denial of </w:t>
      </w:r>
      <w:r w:rsidR="00BF0372">
        <w:t xml:space="preserve">qualified </w:t>
      </w:r>
      <w:r>
        <w:t>immunity to Abbate and Bradley for their conduct on the ground</w:t>
      </w:r>
      <w:r w:rsidR="00BF0372">
        <w:t xml:space="preserve"> (kneeling on King's back after the takedown). However, the court</w:t>
      </w:r>
      <w:r>
        <w:t xml:space="preserve"> reversed the denial of </w:t>
      </w:r>
      <w:r w:rsidR="00BF0372">
        <w:t>qualified</w:t>
      </w:r>
      <w:r>
        <w:t xml:space="preserve"> immunity to Abbate for his takedown maneuver</w:t>
      </w:r>
      <w:r w:rsidR="00BF0372">
        <w:t xml:space="preserve">, holding the plaintiff's actions "did not fit cleanly within" existing case law as either passive or active resistance. </w:t>
      </w:r>
      <w:r>
        <w:t xml:space="preserve">The </w:t>
      </w:r>
      <w:r w:rsidR="00BF0372">
        <w:t>c</w:t>
      </w:r>
      <w:r>
        <w:t>ourt also affirmed the district court</w:t>
      </w:r>
      <w:r w:rsidR="00BF0372">
        <w:t>'</w:t>
      </w:r>
      <w:r>
        <w:t>s denial of governmental immunity to Abbate and Bradley for King</w:t>
      </w:r>
      <w:r w:rsidR="00BF0372">
        <w:t>'</w:t>
      </w:r>
      <w:r>
        <w:t xml:space="preserve">s false arrest claim. </w:t>
      </w:r>
    </w:p>
    <w:p w14:paraId="76931629" w14:textId="77777777" w:rsidR="0082682D" w:rsidRDefault="0082682D" w:rsidP="0082682D"/>
    <w:p w14:paraId="5FE78E50" w14:textId="77777777" w:rsidR="0082682D" w:rsidRDefault="0082682D" w:rsidP="0082682D"/>
    <w:p w14:paraId="3CD1E88C" w14:textId="77777777" w:rsidR="0082682D" w:rsidRPr="00BF0372" w:rsidRDefault="0082682D" w:rsidP="0082682D">
      <w:pPr>
        <w:rPr>
          <w:b/>
          <w:bCs/>
        </w:rPr>
      </w:pPr>
      <w:r w:rsidRPr="00BF0372">
        <w:rPr>
          <w:b/>
          <w:bCs/>
        </w:rPr>
        <w:t>Acosta v. Miami-Dade County</w:t>
      </w:r>
    </w:p>
    <w:p w14:paraId="4BAD9FF6" w14:textId="7837B3A7" w:rsidR="0082682D" w:rsidRDefault="0082682D" w:rsidP="0082682D">
      <w:r>
        <w:t>U</w:t>
      </w:r>
      <w:r w:rsidR="00BF0372">
        <w:t>.S.</w:t>
      </w:r>
      <w:r>
        <w:t xml:space="preserve"> Court of Appeals for the Eleventh Circuit</w:t>
      </w:r>
    </w:p>
    <w:p w14:paraId="1614AB2C" w14:textId="77777777" w:rsidR="0082682D" w:rsidRDefault="0082682D" w:rsidP="0082682D">
      <w:r>
        <w:t>Docket: 22-11675</w:t>
      </w:r>
    </w:p>
    <w:p w14:paraId="7E6823C2" w14:textId="483EE3B1" w:rsidR="0082682D" w:rsidRDefault="0082682D" w:rsidP="0082682D">
      <w:r>
        <w:t>March 28, 2024</w:t>
      </w:r>
    </w:p>
    <w:p w14:paraId="7C30B37F" w14:textId="77777777" w:rsidR="0082682D" w:rsidRDefault="0082682D" w:rsidP="0082682D"/>
    <w:p w14:paraId="6127A9D0" w14:textId="71CB0681" w:rsidR="0082682D" w:rsidRPr="00BF0372" w:rsidRDefault="00BF0372" w:rsidP="0082682D">
      <w:pPr>
        <w:rPr>
          <w:i/>
          <w:iCs/>
        </w:rPr>
      </w:pPr>
      <w:r w:rsidRPr="00BF0372">
        <w:rPr>
          <w:i/>
          <w:iCs/>
        </w:rPr>
        <w:lastRenderedPageBreak/>
        <w:t xml:space="preserve">LEO LAW Topic 8-4: The use of a Taser and kicking a suspect who is on the ground and subdued is </w:t>
      </w:r>
      <w:r>
        <w:rPr>
          <w:i/>
          <w:iCs/>
        </w:rPr>
        <w:t>"</w:t>
      </w:r>
      <w:r w:rsidRPr="00BF0372">
        <w:rPr>
          <w:i/>
          <w:iCs/>
        </w:rPr>
        <w:t>clearly established</w:t>
      </w:r>
      <w:r>
        <w:rPr>
          <w:i/>
          <w:iCs/>
        </w:rPr>
        <w:t>"</w:t>
      </w:r>
      <w:r w:rsidRPr="00BF0372">
        <w:rPr>
          <w:i/>
          <w:iCs/>
        </w:rPr>
        <w:t xml:space="preserve"> as an unreasonable use of force under the Fourth Amendment.</w:t>
      </w:r>
    </w:p>
    <w:p w14:paraId="49AA8C7E" w14:textId="77777777" w:rsidR="0082682D" w:rsidRDefault="0082682D" w:rsidP="0082682D"/>
    <w:p w14:paraId="2EDCA83F" w14:textId="1EF7F20E" w:rsidR="0082682D" w:rsidRDefault="00BF0372" w:rsidP="0082682D">
      <w:r>
        <w:t xml:space="preserve">In this </w:t>
      </w:r>
      <w:r w:rsidRPr="00BF0372">
        <w:t xml:space="preserve">42 U.S.C. §1983 </w:t>
      </w:r>
      <w:r>
        <w:t>civil suit, the plaintiff,</w:t>
      </w:r>
      <w:r w:rsidR="0082682D">
        <w:t xml:space="preserve"> Maria Acosta</w:t>
      </w:r>
      <w:r>
        <w:t xml:space="preserve">, </w:t>
      </w:r>
      <w:r w:rsidR="0082682D">
        <w:t xml:space="preserve">sued six Miami-Dade </w:t>
      </w:r>
      <w:r>
        <w:t xml:space="preserve">police </w:t>
      </w:r>
      <w:r w:rsidR="0082682D">
        <w:t xml:space="preserve">officers involved in the arrest of her son, Maykel Barrera, who died after the encounter. Acosta alleged </w:t>
      </w:r>
      <w:r>
        <w:t xml:space="preserve">both </w:t>
      </w:r>
      <w:r w:rsidR="0082682D">
        <w:t>federal excessive-force claims and state wrongful-death claims. The district court granted summary judgment to the officers, and Acosta appealed. The United States Court of Appeals for the Eleventh Circuit held that the district court erred in granting summary judgment to five of the six officers on Acosta</w:t>
      </w:r>
      <w:r>
        <w:t>'</w:t>
      </w:r>
      <w:r w:rsidR="0082682D">
        <w:t>s excessive-force claims and to all of the officers on Acosta</w:t>
      </w:r>
      <w:r>
        <w:t>'</w:t>
      </w:r>
      <w:r w:rsidR="0082682D">
        <w:t>s wrongful</w:t>
      </w:r>
      <w:r>
        <w:t xml:space="preserve"> </w:t>
      </w:r>
      <w:r w:rsidR="0082682D">
        <w:t>death claims.</w:t>
      </w:r>
    </w:p>
    <w:p w14:paraId="622F56FF" w14:textId="77777777" w:rsidR="0082682D" w:rsidRDefault="0082682D" w:rsidP="0082682D"/>
    <w:p w14:paraId="4D2953DF" w14:textId="1A30AE4C" w:rsidR="0082682D" w:rsidRDefault="00BF0372" w:rsidP="0082682D">
      <w:r>
        <w:t>In denying qualified immunity, t</w:t>
      </w:r>
      <w:r w:rsidR="0082682D">
        <w:t xml:space="preserve">he </w:t>
      </w:r>
      <w:r>
        <w:t>court</w:t>
      </w:r>
      <w:r w:rsidR="0082682D">
        <w:t xml:space="preserve"> found that viewing the facts in the light most favorable to Acosta</w:t>
      </w:r>
      <w:r>
        <w:t>;</w:t>
      </w:r>
      <w:r w:rsidR="0082682D">
        <w:t xml:space="preserve"> the officers used excessive force when they tased and kicked Barrera while he was subdued on the ground and no longer resisting arrest</w:t>
      </w:r>
      <w:r>
        <w:t xml:space="preserve">. The court further held that this was clearly established by prior case law. </w:t>
      </w:r>
    </w:p>
    <w:p w14:paraId="458366AE" w14:textId="77777777" w:rsidR="0082682D" w:rsidRDefault="0082682D" w:rsidP="0082682D"/>
    <w:p w14:paraId="689837FB" w14:textId="77777777" w:rsidR="0082682D" w:rsidRDefault="0082682D" w:rsidP="0082682D"/>
    <w:p w14:paraId="0458F447" w14:textId="2874FD24" w:rsidR="0082682D" w:rsidRPr="00BF0372" w:rsidRDefault="00BF0372" w:rsidP="0082682D">
      <w:pPr>
        <w:rPr>
          <w:b/>
          <w:bCs/>
        </w:rPr>
      </w:pPr>
      <w:r w:rsidRPr="00BF0372">
        <w:rPr>
          <w:b/>
          <w:bCs/>
        </w:rPr>
        <w:t>STATE CASES</w:t>
      </w:r>
    </w:p>
    <w:p w14:paraId="1296C236" w14:textId="77777777" w:rsidR="00022379" w:rsidRDefault="00022379" w:rsidP="0082682D"/>
    <w:p w14:paraId="60D0B2AE" w14:textId="152048D5" w:rsidR="0082682D" w:rsidRDefault="0082682D" w:rsidP="0082682D">
      <w:r>
        <w:t>People In re J.G.</w:t>
      </w:r>
    </w:p>
    <w:p w14:paraId="250B3ADF" w14:textId="3A603124" w:rsidR="0082682D" w:rsidRDefault="0082682D" w:rsidP="0082682D">
      <w:r>
        <w:t>Colorado Supreme Court</w:t>
      </w:r>
    </w:p>
    <w:p w14:paraId="674D7DEA" w14:textId="1749F4B2" w:rsidR="0082682D" w:rsidRDefault="0082682D" w:rsidP="0082682D">
      <w:r>
        <w:t>March 25, 2024</w:t>
      </w:r>
    </w:p>
    <w:p w14:paraId="22E45DAA" w14:textId="77777777" w:rsidR="0082682D" w:rsidRDefault="0082682D" w:rsidP="0082682D"/>
    <w:p w14:paraId="5E0C7166" w14:textId="3CBA7EFD" w:rsidR="0082682D" w:rsidRPr="00022379" w:rsidRDefault="00022379" w:rsidP="0082682D">
      <w:pPr>
        <w:rPr>
          <w:i/>
          <w:iCs/>
        </w:rPr>
      </w:pPr>
      <w:r w:rsidRPr="00022379">
        <w:rPr>
          <w:i/>
          <w:iCs/>
        </w:rPr>
        <w:t xml:space="preserve">LEO LAW Topic 5-28: </w:t>
      </w:r>
      <w:r w:rsidRPr="00022379">
        <w:rPr>
          <w:i/>
          <w:iCs/>
        </w:rPr>
        <w:t xml:space="preserve">The search of </w:t>
      </w:r>
      <w:r w:rsidRPr="00022379">
        <w:rPr>
          <w:i/>
          <w:iCs/>
        </w:rPr>
        <w:t xml:space="preserve">a student's </w:t>
      </w:r>
      <w:r w:rsidRPr="00022379">
        <w:rPr>
          <w:i/>
          <w:iCs/>
        </w:rPr>
        <w:t xml:space="preserve">backpack </w:t>
      </w:r>
      <w:r w:rsidRPr="00022379">
        <w:rPr>
          <w:i/>
          <w:iCs/>
        </w:rPr>
        <w:t>i</w:t>
      </w:r>
      <w:r w:rsidRPr="00022379">
        <w:rPr>
          <w:i/>
          <w:iCs/>
        </w:rPr>
        <w:t xml:space="preserve">s reasonable </w:t>
      </w:r>
      <w:r w:rsidRPr="00022379">
        <w:rPr>
          <w:i/>
          <w:iCs/>
        </w:rPr>
        <w:t xml:space="preserve">if </w:t>
      </w:r>
      <w:r w:rsidRPr="00022379">
        <w:rPr>
          <w:i/>
          <w:iCs/>
        </w:rPr>
        <w:t xml:space="preserve">it </w:t>
      </w:r>
      <w:r w:rsidRPr="00022379">
        <w:rPr>
          <w:i/>
          <w:iCs/>
        </w:rPr>
        <w:t>i</w:t>
      </w:r>
      <w:r w:rsidRPr="00022379">
        <w:rPr>
          <w:i/>
          <w:iCs/>
        </w:rPr>
        <w:t xml:space="preserve">s </w:t>
      </w:r>
      <w:r w:rsidRPr="00022379">
        <w:rPr>
          <w:i/>
          <w:iCs/>
        </w:rPr>
        <w:t xml:space="preserve">done according to a </w:t>
      </w:r>
      <w:r w:rsidRPr="00022379">
        <w:rPr>
          <w:i/>
          <w:iCs/>
        </w:rPr>
        <w:t>formal safety plan and i</w:t>
      </w:r>
      <w:r w:rsidRPr="00022379">
        <w:rPr>
          <w:i/>
          <w:iCs/>
        </w:rPr>
        <w:t>s appropriately limited in</w:t>
      </w:r>
      <w:r w:rsidRPr="00022379">
        <w:rPr>
          <w:i/>
          <w:iCs/>
        </w:rPr>
        <w:t xml:space="preserve"> scope.</w:t>
      </w:r>
    </w:p>
    <w:p w14:paraId="1E674733" w14:textId="77777777" w:rsidR="0082682D" w:rsidRDefault="0082682D" w:rsidP="0082682D"/>
    <w:p w14:paraId="7B232DA4" w14:textId="1258AE5A" w:rsidR="0082682D" w:rsidRDefault="0082682D" w:rsidP="0082682D">
      <w:r>
        <w:t xml:space="preserve">A </w:t>
      </w:r>
      <w:r w:rsidR="00022379">
        <w:t xml:space="preserve">minor </w:t>
      </w:r>
      <w:r>
        <w:t>high school student</w:t>
      </w:r>
      <w:r w:rsidR="00022379">
        <w:t xml:space="preserve"> (</w:t>
      </w:r>
      <w:r>
        <w:t xml:space="preserve">identified as </w:t>
      </w:r>
      <w:r w:rsidR="00022379">
        <w:t>"</w:t>
      </w:r>
      <w:r>
        <w:t>J.G.</w:t>
      </w:r>
      <w:r w:rsidR="00022379">
        <w:t>”)</w:t>
      </w:r>
      <w:r>
        <w:t xml:space="preserve"> was required to undergo daily searches for weapons as part of a </w:t>
      </w:r>
      <w:r w:rsidR="00022379">
        <w:t xml:space="preserve">formal </w:t>
      </w:r>
      <w:r>
        <w:t xml:space="preserve">safety plan after </w:t>
      </w:r>
      <w:r w:rsidR="00022379">
        <w:t xml:space="preserve">he </w:t>
      </w:r>
      <w:r>
        <w:t>committ</w:t>
      </w:r>
      <w:r w:rsidR="00022379">
        <w:t>ed several</w:t>
      </w:r>
      <w:r>
        <w:t xml:space="preserve"> firearm</w:t>
      </w:r>
      <w:r w:rsidR="00022379">
        <w:t>s</w:t>
      </w:r>
      <w:r>
        <w:t xml:space="preserve">-related offenses. However, when J.G. returned to school for his tenth-grade year, he was not searched on the first two days. On </w:t>
      </w:r>
      <w:r w:rsidR="00022379">
        <w:t>the</w:t>
      </w:r>
      <w:r>
        <w:t xml:space="preserve"> third day, school administrators </w:t>
      </w:r>
      <w:r w:rsidR="00022379">
        <w:t xml:space="preserve">searched his backpack and </w:t>
      </w:r>
      <w:r>
        <w:t>discovered a loaded handgun</w:t>
      </w:r>
      <w:r w:rsidR="00022379">
        <w:t xml:space="preserve">. J.G. </w:t>
      </w:r>
      <w:r>
        <w:t xml:space="preserve">was arrested and charged with weapons-related offenses. J.G. moved to suppress evidence of the handgun, arguing that the search violated his Fourth Amendment rights </w:t>
      </w:r>
      <w:r w:rsidR="00022379">
        <w:t>because</w:t>
      </w:r>
      <w:r>
        <w:t xml:space="preserve"> the safety plan was no longer in effect at the time of the search. His motion was denied by the juvenile </w:t>
      </w:r>
      <w:r w:rsidR="00BF0372">
        <w:t>c</w:t>
      </w:r>
      <w:r>
        <w:t>ourt</w:t>
      </w:r>
      <w:r w:rsidR="00022379">
        <w:t>,</w:t>
      </w:r>
      <w:r>
        <w:t xml:space="preserve"> which found that the safety plan, with its requirement for daily searches, was still in place when the handgun was found.</w:t>
      </w:r>
    </w:p>
    <w:p w14:paraId="0F9ADCAD" w14:textId="77777777" w:rsidR="0082682D" w:rsidRDefault="0082682D" w:rsidP="0082682D"/>
    <w:p w14:paraId="3F72EF25" w14:textId="16A18BBC" w:rsidR="003A0002" w:rsidRDefault="0082682D" w:rsidP="0082682D">
      <w:r>
        <w:t xml:space="preserve">The Supreme Court of the State of Colorado affirmed the lower </w:t>
      </w:r>
      <w:r w:rsidR="00BF0372">
        <w:t>c</w:t>
      </w:r>
      <w:r>
        <w:t xml:space="preserve">ourt's decision. The </w:t>
      </w:r>
      <w:r w:rsidR="00BF0372">
        <w:t>c</w:t>
      </w:r>
      <w:r>
        <w:t xml:space="preserve">ourt held that a search of a student conducted on school grounds </w:t>
      </w:r>
      <w:r w:rsidR="00022379">
        <w:t>following</w:t>
      </w:r>
      <w:r>
        <w:t xml:space="preserve"> an individualized, weapons-related safety plan is reasonable under the Fourth Amendment. The </w:t>
      </w:r>
      <w:r w:rsidR="00BF0372">
        <w:t>c</w:t>
      </w:r>
      <w:r>
        <w:t xml:space="preserve">ourt reasoned that J.G.'s behavior did not create individualized reasonable suspicion on the day he was searched. However, the presence or absence of individualized suspicion is not the full extent of the inception prong of the reasonableness test. The </w:t>
      </w:r>
      <w:r w:rsidR="00BF0372">
        <w:t>c</w:t>
      </w:r>
      <w:r>
        <w:t>ourt held that the search of J.G.</w:t>
      </w:r>
      <w:r w:rsidR="00BF0372">
        <w:t>'</w:t>
      </w:r>
      <w:r>
        <w:t xml:space="preserve">s backpack was reasonable at its inception because it was carried out in conformity with a formal safety plan and it was appropriately limited in its scope. The </w:t>
      </w:r>
      <w:r w:rsidR="00BF0372">
        <w:t>c</w:t>
      </w:r>
      <w:r>
        <w:t>ourt also found that J.G. had sufficient notice of the search requirement to diminish his expectation of privacy in his backpack.</w:t>
      </w:r>
    </w:p>
    <w:p w14:paraId="7FBCB938" w14:textId="77777777" w:rsidR="0082682D" w:rsidRDefault="0082682D" w:rsidP="0082682D"/>
    <w:p w14:paraId="441FD170" w14:textId="77777777" w:rsidR="0082682D" w:rsidRDefault="0082682D" w:rsidP="0082682D"/>
    <w:p w14:paraId="1C80A2A3" w14:textId="77777777" w:rsidR="00022379" w:rsidRDefault="00022379" w:rsidP="0082682D">
      <w:pPr>
        <w:rPr>
          <w:b/>
          <w:bCs/>
        </w:rPr>
      </w:pPr>
    </w:p>
    <w:p w14:paraId="32F16A79" w14:textId="77777777" w:rsidR="00022379" w:rsidRDefault="00022379" w:rsidP="0082682D">
      <w:pPr>
        <w:rPr>
          <w:b/>
          <w:bCs/>
        </w:rPr>
      </w:pPr>
    </w:p>
    <w:p w14:paraId="5FD5E8C5" w14:textId="77777777" w:rsidR="00022379" w:rsidRDefault="00022379" w:rsidP="0082682D">
      <w:pPr>
        <w:rPr>
          <w:b/>
          <w:bCs/>
        </w:rPr>
      </w:pPr>
    </w:p>
    <w:p w14:paraId="24E9208B" w14:textId="728E801E" w:rsidR="0082682D" w:rsidRPr="00022379" w:rsidRDefault="0082682D" w:rsidP="0082682D">
      <w:pPr>
        <w:rPr>
          <w:b/>
          <w:bCs/>
        </w:rPr>
      </w:pPr>
      <w:r w:rsidRPr="00022379">
        <w:rPr>
          <w:b/>
          <w:bCs/>
        </w:rPr>
        <w:lastRenderedPageBreak/>
        <w:t>Smith v. State</w:t>
      </w:r>
    </w:p>
    <w:p w14:paraId="689B670C" w14:textId="476E218D" w:rsidR="0082682D" w:rsidRDefault="0082682D" w:rsidP="0082682D">
      <w:r>
        <w:t>Supreme Court of Nevada</w:t>
      </w:r>
    </w:p>
    <w:p w14:paraId="2F0A1B21" w14:textId="6709EDA5" w:rsidR="0082682D" w:rsidRDefault="0082682D" w:rsidP="0082682D">
      <w:r>
        <w:t>March 28, 2024</w:t>
      </w:r>
    </w:p>
    <w:p w14:paraId="31BF86E6" w14:textId="77777777" w:rsidR="0082682D" w:rsidRDefault="0082682D" w:rsidP="0082682D"/>
    <w:p w14:paraId="1F518BCF" w14:textId="2542D635" w:rsidR="0082682D" w:rsidRPr="00022379" w:rsidRDefault="00022379" w:rsidP="0082682D">
      <w:pPr>
        <w:rPr>
          <w:i/>
          <w:iCs/>
        </w:rPr>
      </w:pPr>
      <w:r w:rsidRPr="00022379">
        <w:rPr>
          <w:i/>
          <w:iCs/>
        </w:rPr>
        <w:t>LEO LAW Topics 4-6, 5-9: Destruction exigency justified the seizure of the cell phone, but not the warrantless search of the phone.</w:t>
      </w:r>
    </w:p>
    <w:p w14:paraId="166D39C7" w14:textId="77777777" w:rsidR="0082682D" w:rsidRDefault="0082682D" w:rsidP="0082682D"/>
    <w:p w14:paraId="774E35E5" w14:textId="16CD69B8" w:rsidR="0082682D" w:rsidRDefault="0082682D" w:rsidP="0082682D">
      <w:r>
        <w:t xml:space="preserve">In this case, </w:t>
      </w:r>
      <w:r w:rsidR="00022379">
        <w:t>t</w:t>
      </w:r>
      <w:r>
        <w:t xml:space="preserve">he appellant, Deva Smith, was convicted of two counts of possession of a visual presentation depicting </w:t>
      </w:r>
      <w:r w:rsidR="00FC6889">
        <w:t xml:space="preserve">the </w:t>
      </w:r>
      <w:r>
        <w:t>sexual conduct of a person under sixteen years of age. The case centered on the validity of a search warrant that officers used to seize and conduct a forensic search of Smith's cell phone.</w:t>
      </w:r>
    </w:p>
    <w:p w14:paraId="0E7691A6" w14:textId="77777777" w:rsidR="0082682D" w:rsidRDefault="0082682D" w:rsidP="0082682D"/>
    <w:p w14:paraId="75BE3FBA" w14:textId="0A0DB4D7" w:rsidR="0082682D" w:rsidRDefault="0082682D" w:rsidP="0082682D">
      <w:r>
        <w:t xml:space="preserve">The </w:t>
      </w:r>
      <w:r w:rsidR="00BF0372">
        <w:t>c</w:t>
      </w:r>
      <w:r>
        <w:t xml:space="preserve">ourt clarified that under Nevada law, an affidavit may be incorporated into a warrant to establish probable cause, but </w:t>
      </w:r>
      <w:r w:rsidR="00022379">
        <w:t>it</w:t>
      </w:r>
      <w:r>
        <w:t xml:space="preserve"> cannot expand the scope of the search and seizure permitted under the warrant's specific language. Officers must search only the places authorized on the face of the warrant. In Smith's case, the officers had a valid warrant for his residence only</w:t>
      </w:r>
      <w:r w:rsidR="00022379">
        <w:t>. H</w:t>
      </w:r>
      <w:r>
        <w:t>owever, they seized his cell phone while he was outside his residence.</w:t>
      </w:r>
    </w:p>
    <w:p w14:paraId="1E9FCC24" w14:textId="77777777" w:rsidR="0082682D" w:rsidRDefault="0082682D" w:rsidP="0082682D"/>
    <w:p w14:paraId="30F8E45A" w14:textId="1213A5D4" w:rsidR="0082682D" w:rsidRDefault="0082682D" w:rsidP="0082682D">
      <w:r>
        <w:t xml:space="preserve">The </w:t>
      </w:r>
      <w:r w:rsidR="00BF0372">
        <w:t>c</w:t>
      </w:r>
      <w:r>
        <w:t>ourt found that the imminent destruction of evidence exigency justified the seizure of the cell phone</w:t>
      </w:r>
      <w:r w:rsidR="00FC6889">
        <w:t>, but</w:t>
      </w:r>
      <w:r>
        <w:t xml:space="preserve"> no </w:t>
      </w:r>
      <w:r w:rsidR="00022379">
        <w:t>judicially recognized exception</w:t>
      </w:r>
      <w:r>
        <w:t xml:space="preserve"> allowed for the subsequent </w:t>
      </w:r>
      <w:r w:rsidR="00022379">
        <w:t>warrantless forensic</w:t>
      </w:r>
      <w:r>
        <w:t xml:space="preserve"> search of the cell phone. </w:t>
      </w:r>
      <w:r w:rsidR="00022379">
        <w:t>Accordingly, t</w:t>
      </w:r>
      <w:r>
        <w:t xml:space="preserve">he </w:t>
      </w:r>
      <w:r w:rsidR="00BF0372">
        <w:t>c</w:t>
      </w:r>
      <w:r>
        <w:t>ourt concluded that because officers failed to obtain a warrant to search the cell phone, the search of that device violated Smith's Fourth Amendment rights. Therefore, the district court erred in denying Smith's motion to suppress the evidence found on the phone. As a result, the Supreme Court of the State of Nevada reversed the judgment of conviction.</w:t>
      </w:r>
    </w:p>
    <w:p w14:paraId="09CB0B03" w14:textId="77777777" w:rsidR="0082682D" w:rsidRDefault="0082682D" w:rsidP="0082682D"/>
    <w:p w14:paraId="2F0F5DBD" w14:textId="77777777" w:rsidR="0082682D" w:rsidRDefault="0082682D" w:rsidP="0082682D"/>
    <w:p w14:paraId="00CC0024" w14:textId="77777777" w:rsidR="0082682D" w:rsidRPr="00022379" w:rsidRDefault="0082682D" w:rsidP="0082682D">
      <w:pPr>
        <w:rPr>
          <w:b/>
          <w:bCs/>
        </w:rPr>
      </w:pPr>
      <w:r w:rsidRPr="00022379">
        <w:rPr>
          <w:b/>
          <w:bCs/>
        </w:rPr>
        <w:t>State v. Boudette</w:t>
      </w:r>
    </w:p>
    <w:p w14:paraId="5A6888AA" w14:textId="28DA7B4E" w:rsidR="0082682D" w:rsidRDefault="0082682D" w:rsidP="0082682D">
      <w:r>
        <w:t>Montana Supreme Court</w:t>
      </w:r>
    </w:p>
    <w:p w14:paraId="1C6C4C53" w14:textId="64F7DB79" w:rsidR="0082682D" w:rsidRDefault="0082682D" w:rsidP="0082682D">
      <w:r>
        <w:t>March 26, 2024</w:t>
      </w:r>
    </w:p>
    <w:p w14:paraId="01B8C0FB" w14:textId="77777777" w:rsidR="0082682D" w:rsidRDefault="0082682D" w:rsidP="0082682D"/>
    <w:p w14:paraId="6D8F7C65" w14:textId="5F64DF36" w:rsidR="0082682D" w:rsidRPr="006C1CA7" w:rsidRDefault="00022379" w:rsidP="0082682D">
      <w:pPr>
        <w:rPr>
          <w:i/>
          <w:iCs/>
        </w:rPr>
      </w:pPr>
      <w:r w:rsidRPr="006C1CA7">
        <w:rPr>
          <w:i/>
          <w:iCs/>
        </w:rPr>
        <w:t xml:space="preserve">LEO LAW Topic </w:t>
      </w:r>
      <w:r w:rsidR="006C1CA7" w:rsidRPr="006C1CA7">
        <w:rPr>
          <w:i/>
          <w:iCs/>
        </w:rPr>
        <w:t xml:space="preserve">5-20: Warrantless entry into a vehicle was reasonable under the Community Caretaking Doctrine when the </w:t>
      </w:r>
      <w:r w:rsidR="006C1CA7" w:rsidRPr="006C1CA7">
        <w:rPr>
          <w:i/>
          <w:iCs/>
        </w:rPr>
        <w:t xml:space="preserve">arresting officer entered </w:t>
      </w:r>
      <w:r w:rsidR="006C1CA7" w:rsidRPr="006C1CA7">
        <w:rPr>
          <w:i/>
          <w:iCs/>
        </w:rPr>
        <w:t>a</w:t>
      </w:r>
      <w:r w:rsidR="006C1CA7" w:rsidRPr="006C1CA7">
        <w:rPr>
          <w:i/>
          <w:iCs/>
        </w:rPr>
        <w:t xml:space="preserve"> </w:t>
      </w:r>
      <w:r w:rsidR="006C1CA7" w:rsidRPr="006C1CA7">
        <w:rPr>
          <w:i/>
          <w:iCs/>
        </w:rPr>
        <w:t>car</w:t>
      </w:r>
      <w:r w:rsidR="006C1CA7" w:rsidRPr="006C1CA7">
        <w:rPr>
          <w:i/>
          <w:iCs/>
        </w:rPr>
        <w:t xml:space="preserve"> to check on </w:t>
      </w:r>
      <w:r w:rsidR="006C1CA7" w:rsidRPr="006C1CA7">
        <w:rPr>
          <w:i/>
          <w:iCs/>
        </w:rPr>
        <w:t>the occupant's</w:t>
      </w:r>
      <w:r w:rsidR="006C1CA7" w:rsidRPr="006C1CA7">
        <w:rPr>
          <w:i/>
          <w:iCs/>
        </w:rPr>
        <w:t xml:space="preserve"> wellbeing</w:t>
      </w:r>
      <w:r w:rsidR="006C1CA7">
        <w:rPr>
          <w:i/>
          <w:iCs/>
        </w:rPr>
        <w:t>.</w:t>
      </w:r>
    </w:p>
    <w:p w14:paraId="34A42527" w14:textId="77777777" w:rsidR="0082682D" w:rsidRDefault="0082682D" w:rsidP="0082682D"/>
    <w:p w14:paraId="183229C1" w14:textId="288F9D80" w:rsidR="0082682D" w:rsidRDefault="006C1CA7" w:rsidP="0082682D">
      <w:r>
        <w:t xml:space="preserve">In this case, </w:t>
      </w:r>
      <w:r w:rsidR="0082682D">
        <w:t xml:space="preserve">Eric Boudette was convicted of </w:t>
      </w:r>
      <w:r>
        <w:t>a DUI</w:t>
      </w:r>
      <w:r w:rsidR="0082682D">
        <w:t xml:space="preserve"> following a jury trial. Boudette appealed the verdict, </w:t>
      </w:r>
      <w:r>
        <w:t>arguing</w:t>
      </w:r>
      <w:r w:rsidR="0082682D">
        <w:t xml:space="preserve"> his plea for a new trial was wrongly denied on </w:t>
      </w:r>
      <w:r>
        <w:t xml:space="preserve">several </w:t>
      </w:r>
      <w:r w:rsidR="0082682D">
        <w:t>grounds</w:t>
      </w:r>
      <w:r>
        <w:t>, including</w:t>
      </w:r>
      <w:r w:rsidR="0082682D">
        <w:t xml:space="preserve"> that his arrest </w:t>
      </w:r>
      <w:r w:rsidR="00FC6889">
        <w:t>violated his Fourth Amendment rights because it was based on the unlawful warrantless entry into his vehicle</w:t>
      </w:r>
      <w:r>
        <w:t>.</w:t>
      </w:r>
    </w:p>
    <w:p w14:paraId="577889C2" w14:textId="77777777" w:rsidR="0082682D" w:rsidRDefault="0082682D" w:rsidP="0082682D"/>
    <w:p w14:paraId="11824ABD" w14:textId="7C6EF8F5" w:rsidR="0082682D" w:rsidRDefault="0082682D" w:rsidP="006C1CA7">
      <w:r>
        <w:t xml:space="preserve">The </w:t>
      </w:r>
      <w:r w:rsidR="006C1CA7">
        <w:t xml:space="preserve">Montana </w:t>
      </w:r>
      <w:r>
        <w:t>Supreme Court analyzed several aspects of the case, including the Community Caretaker Doctrine</w:t>
      </w:r>
      <w:r w:rsidR="006C1CA7">
        <w:t xml:space="preserve">. </w:t>
      </w:r>
      <w:r>
        <w:t xml:space="preserve">The </w:t>
      </w:r>
      <w:r w:rsidR="00BF0372">
        <w:t>c</w:t>
      </w:r>
      <w:r>
        <w:t xml:space="preserve">ourt ruled the arresting officer acted in her capacity as a community caretaker when she entered Boudette's vehicle to check on his wellbeing, thus making the arrest lawful. </w:t>
      </w:r>
    </w:p>
    <w:p w14:paraId="6D77427C" w14:textId="77777777" w:rsidR="0082682D" w:rsidRDefault="0082682D" w:rsidP="0082682D"/>
    <w:p w14:paraId="5FABD735" w14:textId="77777777" w:rsidR="0082682D" w:rsidRDefault="0082682D" w:rsidP="0082682D"/>
    <w:p w14:paraId="7029ED10" w14:textId="77777777" w:rsidR="0082682D" w:rsidRDefault="0082682D" w:rsidP="0082682D"/>
    <w:p w14:paraId="10B06E00" w14:textId="77777777" w:rsidR="0082682D" w:rsidRDefault="0082682D" w:rsidP="0082682D"/>
    <w:p w14:paraId="3E5B26E2" w14:textId="77777777" w:rsidR="0082682D" w:rsidRDefault="0082682D" w:rsidP="0082682D"/>
    <w:sectPr w:rsidR="00826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yNzI2MbA0sjA0szRQ0lEKTi0uzszPAykwrAUAV6yHACwAAAA="/>
  </w:docVars>
  <w:rsids>
    <w:rsidRoot w:val="003A0002"/>
    <w:rsid w:val="00022379"/>
    <w:rsid w:val="002550DE"/>
    <w:rsid w:val="003A0002"/>
    <w:rsid w:val="003D5635"/>
    <w:rsid w:val="006C1CA7"/>
    <w:rsid w:val="0082682D"/>
    <w:rsid w:val="00BF0372"/>
    <w:rsid w:val="00C04E35"/>
    <w:rsid w:val="00DF4922"/>
    <w:rsid w:val="00FC6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FFA7C"/>
  <w15:chartTrackingRefBased/>
  <w15:docId w15:val="{3ED9EBC9-13A6-4CD1-9AA7-5EB18223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4</Pages>
  <Words>1668</Words>
  <Characters>9508</Characters>
  <Application>Microsoft Office Word</Application>
  <DocSecurity>0</DocSecurity>
  <Lines>79</Lines>
  <Paragraphs>22</Paragraphs>
  <ScaleCrop>false</ScaleCrop>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2024-03-29T17:10:00Z</dcterms:created>
  <dcterms:modified xsi:type="dcterms:W3CDTF">2024-03-30T14:42:00Z</dcterms:modified>
</cp:coreProperties>
</file>