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210681" w14:textId="61E900B4" w:rsidR="00EC499C" w:rsidRDefault="008A3591">
      <w:r>
        <w:t xml:space="preserve">CASES </w:t>
      </w:r>
      <w:r w:rsidR="00627BD9">
        <w:t>BF</w:t>
      </w:r>
      <w:r>
        <w:t>19</w:t>
      </w:r>
      <w:r w:rsidR="00627BD9">
        <w:t xml:space="preserve"> 10MAY2024</w:t>
      </w:r>
    </w:p>
    <w:p w14:paraId="48711D5A" w14:textId="77777777" w:rsidR="008A3591" w:rsidRDefault="008A3591"/>
    <w:p w14:paraId="0C5618E2" w14:textId="77777777" w:rsidR="00646101" w:rsidRDefault="00646101"/>
    <w:p w14:paraId="532146E2" w14:textId="67B17A8D" w:rsidR="00646101" w:rsidRPr="0041713A" w:rsidRDefault="00646101" w:rsidP="00646101">
      <w:pPr>
        <w:rPr>
          <w:b/>
          <w:bCs/>
          <w:i/>
          <w:iCs/>
          <w:color w:val="4472C4" w:themeColor="accent1"/>
        </w:rPr>
      </w:pPr>
      <w:r w:rsidRPr="0041713A">
        <w:rPr>
          <w:b/>
          <w:bCs/>
          <w:i/>
          <w:iCs/>
          <w:color w:val="4472C4" w:themeColor="accent1"/>
        </w:rPr>
        <w:t>DO NOT PUBLISH</w:t>
      </w:r>
    </w:p>
    <w:p w14:paraId="7BBF4D99" w14:textId="77777777" w:rsidR="00646101" w:rsidRPr="0041713A" w:rsidRDefault="00646101" w:rsidP="00646101">
      <w:pPr>
        <w:rPr>
          <w:color w:val="4472C4" w:themeColor="accent1"/>
        </w:rPr>
      </w:pPr>
    </w:p>
    <w:p w14:paraId="346157A7" w14:textId="0A353BAB" w:rsidR="00646101" w:rsidRPr="0041713A" w:rsidRDefault="00646101" w:rsidP="00646101">
      <w:pPr>
        <w:rPr>
          <w:b/>
          <w:bCs/>
          <w:color w:val="4472C4" w:themeColor="accent1"/>
        </w:rPr>
      </w:pPr>
      <w:r w:rsidRPr="0041713A">
        <w:rPr>
          <w:b/>
          <w:bCs/>
          <w:color w:val="4472C4" w:themeColor="accent1"/>
        </w:rPr>
        <w:t>Culley v. Marshall</w:t>
      </w:r>
      <w:r w:rsidR="00200057" w:rsidRPr="0041713A">
        <w:rPr>
          <w:b/>
          <w:bCs/>
          <w:color w:val="4472C4" w:themeColor="accent1"/>
        </w:rPr>
        <w:t xml:space="preserve"> – DO NOT PUBLISH</w:t>
      </w:r>
    </w:p>
    <w:p w14:paraId="7EFBAE30" w14:textId="3A0BB5F1" w:rsidR="00646101" w:rsidRPr="0041713A" w:rsidRDefault="00646101" w:rsidP="00646101">
      <w:pPr>
        <w:rPr>
          <w:color w:val="4472C4" w:themeColor="accent1"/>
        </w:rPr>
      </w:pPr>
      <w:r w:rsidRPr="0041713A">
        <w:rPr>
          <w:color w:val="4472C4" w:themeColor="accent1"/>
        </w:rPr>
        <w:t>US Supreme Court</w:t>
      </w:r>
    </w:p>
    <w:p w14:paraId="43886AB5" w14:textId="77777777" w:rsidR="00646101" w:rsidRPr="0041713A" w:rsidRDefault="00646101" w:rsidP="00646101">
      <w:pPr>
        <w:rPr>
          <w:color w:val="4472C4" w:themeColor="accent1"/>
        </w:rPr>
      </w:pPr>
      <w:r w:rsidRPr="0041713A">
        <w:rPr>
          <w:color w:val="4472C4" w:themeColor="accent1"/>
        </w:rPr>
        <w:t>Docket: 22-585</w:t>
      </w:r>
    </w:p>
    <w:p w14:paraId="3A77E255" w14:textId="77777777" w:rsidR="00646101" w:rsidRPr="0041713A" w:rsidRDefault="00646101" w:rsidP="00646101">
      <w:pPr>
        <w:rPr>
          <w:color w:val="4472C4" w:themeColor="accent1"/>
        </w:rPr>
      </w:pPr>
      <w:r w:rsidRPr="0041713A">
        <w:rPr>
          <w:color w:val="4472C4" w:themeColor="accent1"/>
        </w:rPr>
        <w:t>Opinion Date: May 9, 2024</w:t>
      </w:r>
    </w:p>
    <w:p w14:paraId="4411DE4A" w14:textId="77777777" w:rsidR="00646101" w:rsidRPr="0041713A" w:rsidRDefault="00646101" w:rsidP="00646101">
      <w:pPr>
        <w:rPr>
          <w:color w:val="4472C4" w:themeColor="accent1"/>
        </w:rPr>
      </w:pPr>
      <w:r w:rsidRPr="0041713A">
        <w:rPr>
          <w:color w:val="4472C4" w:themeColor="accent1"/>
        </w:rPr>
        <w:t>Judge: Brett M. Kavanaugh</w:t>
      </w:r>
    </w:p>
    <w:p w14:paraId="7C898AA8" w14:textId="77777777" w:rsidR="00646101" w:rsidRPr="0041713A" w:rsidRDefault="00646101" w:rsidP="00646101">
      <w:pPr>
        <w:rPr>
          <w:color w:val="4472C4" w:themeColor="accent1"/>
        </w:rPr>
      </w:pPr>
    </w:p>
    <w:p w14:paraId="3F01B0E3" w14:textId="1280E828" w:rsidR="00200057" w:rsidRPr="0041713A" w:rsidRDefault="00200057" w:rsidP="00646101">
      <w:pPr>
        <w:rPr>
          <w:i/>
          <w:iCs/>
          <w:color w:val="4472C4" w:themeColor="accent1"/>
        </w:rPr>
      </w:pPr>
      <w:r w:rsidRPr="0041713A">
        <w:rPr>
          <w:i/>
          <w:iCs/>
          <w:color w:val="4472C4" w:themeColor="accent1"/>
        </w:rPr>
        <w:t>State retains property pending forfeiture proceedings</w:t>
      </w:r>
    </w:p>
    <w:p w14:paraId="7757C7E7" w14:textId="77777777" w:rsidR="00200057" w:rsidRPr="0041713A" w:rsidRDefault="00200057" w:rsidP="00646101">
      <w:pPr>
        <w:rPr>
          <w:color w:val="4472C4" w:themeColor="accent1"/>
        </w:rPr>
      </w:pPr>
    </w:p>
    <w:p w14:paraId="161D2471" w14:textId="77777777" w:rsidR="00646101" w:rsidRPr="0041713A" w:rsidRDefault="00646101" w:rsidP="00646101">
      <w:pPr>
        <w:rPr>
          <w:color w:val="4472C4" w:themeColor="accent1"/>
        </w:rPr>
      </w:pPr>
      <w:r w:rsidRPr="0041713A">
        <w:rPr>
          <w:color w:val="4472C4" w:themeColor="accent1"/>
        </w:rPr>
        <w:t>The case involves two petitioners, Halima Culley and Lena Sutton, who loaned their cars to others who were subsequently arrested for drug-related offenses. The cars were seized under Alabama's civil forfeiture law, which allowed for the seizure of a car "incident to an arrest" as long as the state promptly initiated a forfeiture case. The State of Alabama filed forfeiture complaints against the cars 10 and 13 days after their seizure, respectively. While the forfeiture proceedings were pending, Culley and Sutton each filed purported class-action complaints in federal court, claiming that state officials violated their due process rights by retaining their cars during the forfeiture process without holding preliminary hearings.</w:t>
      </w:r>
    </w:p>
    <w:p w14:paraId="770BC236" w14:textId="77777777" w:rsidR="00646101" w:rsidRPr="0041713A" w:rsidRDefault="00646101" w:rsidP="00646101">
      <w:pPr>
        <w:rPr>
          <w:color w:val="4472C4" w:themeColor="accent1"/>
        </w:rPr>
      </w:pPr>
    </w:p>
    <w:p w14:paraId="1926968B" w14:textId="77777777" w:rsidR="00646101" w:rsidRPr="0041713A" w:rsidRDefault="00646101" w:rsidP="00646101">
      <w:pPr>
        <w:rPr>
          <w:color w:val="4472C4" w:themeColor="accent1"/>
        </w:rPr>
      </w:pPr>
      <w:r w:rsidRPr="0041713A">
        <w:rPr>
          <w:color w:val="4472C4" w:themeColor="accent1"/>
        </w:rPr>
        <w:t>The Eleventh Circuit affirmed the dismissal of the petitioners' claims, holding that a timely forfeiture hearing affords claimants due process and that no separate preliminary hearing is constitutionally required. The petitioners argued that the Due Process Clause requires a separate preliminary hearing before the forfeiture hearing.</w:t>
      </w:r>
    </w:p>
    <w:p w14:paraId="786A0EF6" w14:textId="77777777" w:rsidR="00646101" w:rsidRPr="0041713A" w:rsidRDefault="00646101" w:rsidP="00646101">
      <w:pPr>
        <w:rPr>
          <w:color w:val="4472C4" w:themeColor="accent1"/>
        </w:rPr>
      </w:pPr>
    </w:p>
    <w:p w14:paraId="0B5A8AA6" w14:textId="17CCE39D" w:rsidR="00646101" w:rsidRPr="0041713A" w:rsidRDefault="00646101" w:rsidP="00646101">
      <w:pPr>
        <w:rPr>
          <w:color w:val="4472C4" w:themeColor="accent1"/>
        </w:rPr>
      </w:pPr>
      <w:r w:rsidRPr="0041713A">
        <w:rPr>
          <w:color w:val="4472C4" w:themeColor="accent1"/>
        </w:rPr>
        <w:t>The Supreme Court of the United States affirmed the Eleventh Circuit's decision. The Court held that in civil forfeiture cases involving personal property, the Due Process Clause requires a timely forfeiture hearing but does not require a separate preliminary hearing. The Court's decision was based on its precedents, which established that a timely forfeiture hearing satisfies due process in civil forfeiture cases. The Court also noted that historical practice reinforces its conclusion that due process does not require preliminary hearings in civil forfeiture cases.</w:t>
      </w:r>
    </w:p>
    <w:p w14:paraId="447041C2" w14:textId="77777777" w:rsidR="00646101" w:rsidRPr="0041713A" w:rsidRDefault="00646101">
      <w:pPr>
        <w:rPr>
          <w:color w:val="4472C4" w:themeColor="accent1"/>
        </w:rPr>
      </w:pPr>
    </w:p>
    <w:p w14:paraId="191EB48C" w14:textId="77777777" w:rsidR="00200057" w:rsidRPr="0041713A" w:rsidRDefault="00200057">
      <w:pPr>
        <w:rPr>
          <w:color w:val="4472C4" w:themeColor="accent1"/>
        </w:rPr>
      </w:pPr>
    </w:p>
    <w:p w14:paraId="692C48FF" w14:textId="57054E69" w:rsidR="00200057" w:rsidRPr="0041713A" w:rsidRDefault="00200057" w:rsidP="00200057">
      <w:pPr>
        <w:rPr>
          <w:b/>
          <w:bCs/>
          <w:color w:val="4472C4" w:themeColor="accent1"/>
        </w:rPr>
      </w:pPr>
      <w:r w:rsidRPr="0041713A">
        <w:rPr>
          <w:b/>
          <w:bCs/>
          <w:color w:val="4472C4" w:themeColor="accent1"/>
        </w:rPr>
        <w:t>United States v. Duarte – DO NOT PUBLISH</w:t>
      </w:r>
    </w:p>
    <w:p w14:paraId="62F93C72" w14:textId="77777777" w:rsidR="00200057" w:rsidRPr="0041713A" w:rsidRDefault="00200057" w:rsidP="00200057">
      <w:pPr>
        <w:rPr>
          <w:color w:val="4472C4" w:themeColor="accent1"/>
        </w:rPr>
      </w:pPr>
      <w:r w:rsidRPr="0041713A">
        <w:rPr>
          <w:color w:val="4472C4" w:themeColor="accent1"/>
        </w:rPr>
        <w:t>US Court of Appeals for the Ninth Circuit</w:t>
      </w:r>
    </w:p>
    <w:p w14:paraId="0E90CB24" w14:textId="77777777" w:rsidR="00200057" w:rsidRPr="0041713A" w:rsidRDefault="00200057" w:rsidP="00200057">
      <w:pPr>
        <w:rPr>
          <w:color w:val="4472C4" w:themeColor="accent1"/>
        </w:rPr>
      </w:pPr>
      <w:r w:rsidRPr="0041713A">
        <w:rPr>
          <w:color w:val="4472C4" w:themeColor="accent1"/>
        </w:rPr>
        <w:t>May 9, 2024</w:t>
      </w:r>
    </w:p>
    <w:p w14:paraId="63CDE2DE" w14:textId="77777777" w:rsidR="00200057" w:rsidRPr="0041713A" w:rsidRDefault="00200057" w:rsidP="00200057">
      <w:pPr>
        <w:rPr>
          <w:color w:val="4472C4" w:themeColor="accent1"/>
        </w:rPr>
      </w:pPr>
      <w:r w:rsidRPr="0041713A">
        <w:rPr>
          <w:color w:val="4472C4" w:themeColor="accent1"/>
        </w:rPr>
        <w:t>Docket: 22-50048</w:t>
      </w:r>
    </w:p>
    <w:p w14:paraId="6C8540BA" w14:textId="77777777" w:rsidR="00200057" w:rsidRPr="0041713A" w:rsidRDefault="00200057" w:rsidP="00200057">
      <w:pPr>
        <w:rPr>
          <w:color w:val="4472C4" w:themeColor="accent1"/>
        </w:rPr>
      </w:pPr>
    </w:p>
    <w:p w14:paraId="4F1116DB" w14:textId="019DE458" w:rsidR="00200057" w:rsidRPr="0041713A" w:rsidRDefault="00200057" w:rsidP="00200057">
      <w:pPr>
        <w:rPr>
          <w:i/>
          <w:iCs/>
          <w:color w:val="4472C4" w:themeColor="accent1"/>
        </w:rPr>
      </w:pPr>
      <w:r w:rsidRPr="0041713A">
        <w:rPr>
          <w:i/>
          <w:iCs/>
          <w:color w:val="4472C4" w:themeColor="accent1"/>
        </w:rPr>
        <w:t>Second Amendment challenge to 922(g)</w:t>
      </w:r>
    </w:p>
    <w:p w14:paraId="5DA6AFFD" w14:textId="77777777" w:rsidR="00200057" w:rsidRPr="0041713A" w:rsidRDefault="00200057" w:rsidP="00200057">
      <w:pPr>
        <w:rPr>
          <w:color w:val="4472C4" w:themeColor="accent1"/>
        </w:rPr>
      </w:pPr>
    </w:p>
    <w:p w14:paraId="5EBA7458" w14:textId="77777777" w:rsidR="00200057" w:rsidRPr="0041713A" w:rsidRDefault="00200057" w:rsidP="00200057">
      <w:pPr>
        <w:rPr>
          <w:color w:val="4472C4" w:themeColor="accent1"/>
        </w:rPr>
      </w:pPr>
      <w:r w:rsidRPr="0041713A">
        <w:rPr>
          <w:color w:val="4472C4" w:themeColor="accent1"/>
        </w:rPr>
        <w:t>The case involves Steven Duarte, who was convicted for violating 18 U.S.C. § 922(g)(1), a law that prohibits anyone previously convicted of a crime punishable by imprisonment for over a year from possessing a firearm. Duarte, who had five prior non-violent state criminal convictions, was charged and convicted under this law after police saw him discard a handgun from a moving car.</w:t>
      </w:r>
    </w:p>
    <w:p w14:paraId="320E4257" w14:textId="77777777" w:rsidR="00200057" w:rsidRPr="0041713A" w:rsidRDefault="00200057" w:rsidP="00200057">
      <w:pPr>
        <w:rPr>
          <w:color w:val="4472C4" w:themeColor="accent1"/>
        </w:rPr>
      </w:pPr>
    </w:p>
    <w:p w14:paraId="2AA70B2F" w14:textId="6813CC6F" w:rsidR="00200057" w:rsidRPr="0041713A" w:rsidRDefault="00200057" w:rsidP="00200057">
      <w:pPr>
        <w:rPr>
          <w:color w:val="4472C4" w:themeColor="accent1"/>
        </w:rPr>
      </w:pPr>
      <w:r w:rsidRPr="0041713A">
        <w:rPr>
          <w:color w:val="4472C4" w:themeColor="accent1"/>
        </w:rPr>
        <w:lastRenderedPageBreak/>
        <w:t xml:space="preserve">Duarte appealed his conviction, arguing that § 922(g)(1) violated his Second Amendment rights. The United States Court of Appeals for the Ninth Circuit agreed with Duarte, finding that the law was unconstitutional as applied to him, a non-violent offender who had served his time in prison and reentered society. The court held that under the Supreme Court's decision in New York State Rifle &amp; Pistol </w:t>
      </w:r>
      <w:proofErr w:type="spellStart"/>
      <w:r w:rsidRPr="0041713A">
        <w:rPr>
          <w:color w:val="4472C4" w:themeColor="accent1"/>
        </w:rPr>
        <w:t>Ass'n</w:t>
      </w:r>
      <w:proofErr w:type="spellEnd"/>
      <w:r w:rsidRPr="0041713A">
        <w:rPr>
          <w:color w:val="4472C4" w:themeColor="accent1"/>
        </w:rPr>
        <w:t xml:space="preserve"> v. Bruen, § 922(g)(1) violated the Second Amendment as applied to Duarte. The court concluded that Duarte's weapon, a handgun, is an "arm" within the meaning of the Second Amendment, and that the government failed to prove that § 922(g)(1)'s categorical prohibition, as applied to Duarte, is part of the historic tradition that delimits the outer bounds of the Second Amendment right. As a result, the court vacated Duarte's conviction and reversed the district court's judgment.</w:t>
      </w:r>
    </w:p>
    <w:p w14:paraId="6AA51862" w14:textId="77777777" w:rsidR="00200057" w:rsidRPr="0041713A" w:rsidRDefault="00200057">
      <w:pPr>
        <w:rPr>
          <w:color w:val="4472C4" w:themeColor="accent1"/>
        </w:rPr>
      </w:pPr>
    </w:p>
    <w:p w14:paraId="160DA133" w14:textId="77777777" w:rsidR="00200057" w:rsidRDefault="00200057"/>
    <w:p w14:paraId="44D9952C" w14:textId="77777777" w:rsidR="00200057" w:rsidRDefault="00200057"/>
    <w:p w14:paraId="49870684" w14:textId="02DB59EF" w:rsidR="00200057" w:rsidRPr="00200057" w:rsidRDefault="00200057">
      <w:pPr>
        <w:rPr>
          <w:b/>
          <w:bCs/>
        </w:rPr>
      </w:pPr>
      <w:r w:rsidRPr="00200057">
        <w:rPr>
          <w:b/>
          <w:bCs/>
        </w:rPr>
        <w:t>PUBLISH</w:t>
      </w:r>
    </w:p>
    <w:p w14:paraId="7A2D69B3" w14:textId="77777777" w:rsidR="00200057" w:rsidRDefault="00200057"/>
    <w:p w14:paraId="1770430D" w14:textId="53978FFF" w:rsidR="00C72054" w:rsidRDefault="00200057">
      <w:r>
        <w:t>FIRST CIRCUIT</w:t>
      </w:r>
    </w:p>
    <w:p w14:paraId="63192E84" w14:textId="77777777" w:rsidR="00C72054" w:rsidRDefault="00C72054"/>
    <w:p w14:paraId="49441408" w14:textId="77777777" w:rsidR="00C72054" w:rsidRPr="00DE347B" w:rsidRDefault="00C72054" w:rsidP="00C72054">
      <w:pPr>
        <w:rPr>
          <w:b/>
          <w:bCs/>
        </w:rPr>
      </w:pPr>
      <w:r w:rsidRPr="00DE347B">
        <w:rPr>
          <w:b/>
          <w:bCs/>
        </w:rPr>
        <w:t>Deaton v. Town of Barrington</w:t>
      </w:r>
    </w:p>
    <w:p w14:paraId="383B3878" w14:textId="3E376602" w:rsidR="00C72054" w:rsidRDefault="00C72054" w:rsidP="00C72054">
      <w:r>
        <w:t>US Court of Appeals for the First Circuit</w:t>
      </w:r>
    </w:p>
    <w:p w14:paraId="3BAB183D" w14:textId="73DCAFAC" w:rsidR="00DE347B" w:rsidRDefault="00DE347B" w:rsidP="00C72054">
      <w:r w:rsidRPr="00DE347B">
        <w:t>May 3, 2024</w:t>
      </w:r>
    </w:p>
    <w:p w14:paraId="2C8152A2" w14:textId="6E512FFE" w:rsidR="00C72054" w:rsidRDefault="00C72054" w:rsidP="00C72054">
      <w:r>
        <w:t>Docket: 23-1794</w:t>
      </w:r>
    </w:p>
    <w:p w14:paraId="1C3BDC29" w14:textId="77777777" w:rsidR="00DE347B" w:rsidRDefault="00DE347B" w:rsidP="00C72054"/>
    <w:p w14:paraId="12CDE818" w14:textId="27D2AF94" w:rsidR="00C72054" w:rsidRPr="00DE347B" w:rsidRDefault="00DE347B" w:rsidP="00C72054">
      <w:pPr>
        <w:rPr>
          <w:i/>
          <w:iCs/>
        </w:rPr>
      </w:pPr>
      <w:r w:rsidRPr="00DE347B">
        <w:rPr>
          <w:i/>
          <w:iCs/>
        </w:rPr>
        <w:t>LEO LAW Topic 1-6: Probable cause existed to support warrantless arrest</w:t>
      </w:r>
      <w:r w:rsidR="00774FB9">
        <w:rPr>
          <w:i/>
          <w:iCs/>
        </w:rPr>
        <w:t xml:space="preserve"> for assault and battery.</w:t>
      </w:r>
    </w:p>
    <w:p w14:paraId="004D9F70" w14:textId="77777777" w:rsidR="00C72054" w:rsidRDefault="00C72054" w:rsidP="00C72054"/>
    <w:p w14:paraId="5D3470A2" w14:textId="3923E542" w:rsidR="00086290" w:rsidRDefault="00086290" w:rsidP="00C72054">
      <w:r>
        <w:t xml:space="preserve">It all started at a Pop Warner football game. </w:t>
      </w:r>
      <w:r w:rsidR="00603AEC">
        <w:t xml:space="preserve">John </w:t>
      </w:r>
      <w:r>
        <w:t>Deaton was attending the game with his partner. Also attending the game was Warner, who</w:t>
      </w:r>
      <w:r w:rsidR="00EE2724">
        <w:t>, as it turns out, is</w:t>
      </w:r>
      <w:r>
        <w:t xml:space="preserve"> the ex-husband of Deaton’s partner. In the heated excitement of watching small children play football, Deaton and Warner became involved in an altercation that started with verbal threats of “whipping ass” and ended in a physical altercation with Warner alleging that Deaton attempted to follow through with the threat by putting his hand on Warner’s throat and choking him. </w:t>
      </w:r>
      <w:r w:rsidR="00603AEC">
        <w:t xml:space="preserve">Apparently, the altercation was short-lived and Deaton decided to leave, at which point Warner called 911 to report Deaton. Acting as </w:t>
      </w:r>
      <w:r w:rsidR="00EE2724">
        <w:t xml:space="preserve">the </w:t>
      </w:r>
      <w:r w:rsidR="00603AEC">
        <w:t xml:space="preserve">referee of this off-field scrimmage between the two grown men, Barrington Police Officer David Wyrostek responded to the call of unnecessary roughness.  Although Warner had absolutely no visible marks on his throat, an eyewitness provided replay evidence stating they saw Deaton put his hand on Warner’s throat.   </w:t>
      </w:r>
    </w:p>
    <w:p w14:paraId="71BE0B42" w14:textId="77777777" w:rsidR="00086290" w:rsidRDefault="00086290" w:rsidP="00C72054"/>
    <w:p w14:paraId="3CEA4070" w14:textId="3BC05571" w:rsidR="00C72054" w:rsidRDefault="00C72054" w:rsidP="00C72054">
      <w:r>
        <w:t>Deaton</w:t>
      </w:r>
      <w:r w:rsidR="008A1E47">
        <w:t xml:space="preserve"> </w:t>
      </w:r>
      <w:r>
        <w:t>was arrested and charged with assault, battery, and disorderly conduct</w:t>
      </w:r>
      <w:r w:rsidR="00086290">
        <w:t xml:space="preserve">. </w:t>
      </w:r>
      <w:r>
        <w:t xml:space="preserve"> </w:t>
      </w:r>
      <w:r w:rsidR="00EE2724">
        <w:t xml:space="preserve">Deaton was released from the station two hours later and the charges were </w:t>
      </w:r>
      <w:r>
        <w:t>d</w:t>
      </w:r>
      <w:r w:rsidR="00EE2724">
        <w:t xml:space="preserve">ropped. </w:t>
      </w:r>
      <w:r w:rsidR="00774FB9">
        <w:t xml:space="preserve">(Ironically, Warner had an active warrant out for his arrest, but that was unknown to the officer at the time.) </w:t>
      </w:r>
      <w:r>
        <w:t xml:space="preserve">Deaton filed </w:t>
      </w:r>
      <w:r w:rsidR="00EE2724">
        <w:t>a civil suit</w:t>
      </w:r>
      <w:r>
        <w:t xml:space="preserve"> against the Town of Barrington and several individuals, including police officers and the town manager. </w:t>
      </w:r>
      <w:r w:rsidR="00EE2724" w:rsidRPr="00EE2724">
        <w:t xml:space="preserve">The </w:t>
      </w:r>
      <w:r w:rsidR="00774FB9">
        <w:t xml:space="preserve">officers sought qualified immunity and the </w:t>
      </w:r>
      <w:r w:rsidR="00EE2724" w:rsidRPr="00EE2724">
        <w:t xml:space="preserve">district court granted summary judgment in favor of the defendants, finding that there was probable cause for Deaton's arrest. </w:t>
      </w:r>
      <w:r>
        <w:t>Deaton appealed, arguing that the district court improperly found that probable cause to arrest him existed</w:t>
      </w:r>
      <w:r w:rsidR="00EE2724">
        <w:t xml:space="preserve">. </w:t>
      </w:r>
    </w:p>
    <w:p w14:paraId="01B6DDBD" w14:textId="77777777" w:rsidR="00C72054" w:rsidRDefault="00C72054" w:rsidP="00C72054"/>
    <w:p w14:paraId="663A22DE" w14:textId="5F48DEEA" w:rsidR="00EE2724" w:rsidRDefault="00C72054" w:rsidP="00C72054">
      <w:r>
        <w:t xml:space="preserve">The United States Court of Appeals for the First Circuit </w:t>
      </w:r>
      <w:r w:rsidR="00EE2724">
        <w:t>held</w:t>
      </w:r>
      <w:r>
        <w:t xml:space="preserve"> that</w:t>
      </w:r>
      <w:r w:rsidR="00EE2724" w:rsidRPr="00EE2724">
        <w:t xml:space="preserve"> </w:t>
      </w:r>
      <w:r w:rsidR="00EE2724">
        <w:t>there were undisputed facts to support the conclusion of probable cause to arrest Deaton.</w:t>
      </w:r>
      <w:r>
        <w:t xml:space="preserve"> </w:t>
      </w:r>
      <w:r w:rsidR="00774FB9">
        <w:t xml:space="preserve">The court noted that even </w:t>
      </w:r>
      <w:r w:rsidR="00774FB9" w:rsidRPr="00774FB9">
        <w:t>where there is no admission of</w:t>
      </w:r>
      <w:r w:rsidR="00774FB9">
        <w:t xml:space="preserve"> </w:t>
      </w:r>
      <w:r w:rsidR="00774FB9" w:rsidRPr="00774FB9">
        <w:t>tortious conduct by the alleged suspect, the bare accusation by</w:t>
      </w:r>
      <w:r w:rsidR="00774FB9">
        <w:t xml:space="preserve"> </w:t>
      </w:r>
      <w:r w:rsidR="00774FB9" w:rsidRPr="00774FB9">
        <w:t>the victim can be enough to support probable cause</w:t>
      </w:r>
      <w:r w:rsidR="00774FB9">
        <w:t>. I</w:t>
      </w:r>
      <w:r w:rsidR="00774FB9" w:rsidRPr="00774FB9">
        <w:t>n</w:t>
      </w:r>
      <w:r w:rsidR="00774FB9">
        <w:t xml:space="preserve"> </w:t>
      </w:r>
      <w:r w:rsidR="00774FB9" w:rsidRPr="00774FB9">
        <w:t>situations where police rely on a victim's statement, "the primary</w:t>
      </w:r>
      <w:r w:rsidR="00774FB9">
        <w:t xml:space="preserve"> </w:t>
      </w:r>
      <w:r w:rsidR="00774FB9" w:rsidRPr="00774FB9">
        <w:t>inquiry is whether there is any evidence that the officers</w:t>
      </w:r>
      <w:r w:rsidR="00774FB9">
        <w:t xml:space="preserve"> </w:t>
      </w:r>
      <w:r w:rsidR="00774FB9" w:rsidRPr="00774FB9">
        <w:t>acted unreasonably when they determined that the victim's</w:t>
      </w:r>
      <w:r w:rsidR="00774FB9">
        <w:t xml:space="preserve"> </w:t>
      </w:r>
      <w:r w:rsidR="00774FB9" w:rsidRPr="00774FB9">
        <w:t>accusation was credible, in light of all the circumstances known</w:t>
      </w:r>
      <w:r w:rsidR="00774FB9">
        <w:t xml:space="preserve"> </w:t>
      </w:r>
      <w:r w:rsidR="00774FB9" w:rsidRPr="00774FB9">
        <w:t>at the time."</w:t>
      </w:r>
      <w:r w:rsidR="00774FB9">
        <w:t xml:space="preserve"> In addition to the </w:t>
      </w:r>
      <w:r w:rsidR="00774FB9">
        <w:lastRenderedPageBreak/>
        <w:t>claims of Warner, Officer Wyrostek knew that Deaton and Warner had a strained relationship (because of the “ex” factor). The court held that These facts, standing alone, constituted reasonably trustworthy information sufficient to warrant a prudent officer in believing that Deaton assaulted Warner. Accordingly</w:t>
      </w:r>
      <w:r w:rsidR="00EE2724">
        <w:t xml:space="preserve">, the panel </w:t>
      </w:r>
      <w:r w:rsidR="00EE2724" w:rsidRPr="00EE2724">
        <w:t>affirmed the district court's decision</w:t>
      </w:r>
      <w:r w:rsidR="00774FB9">
        <w:t xml:space="preserve"> granting qualified immunity to the officers.</w:t>
      </w:r>
    </w:p>
    <w:p w14:paraId="06676FC2" w14:textId="77777777" w:rsidR="00C72054" w:rsidRDefault="00C72054"/>
    <w:p w14:paraId="4B3BAF63" w14:textId="15F5134A" w:rsidR="00A83FB9" w:rsidRDefault="00A83FB9">
      <w:r>
        <w:t>FIFTH CIRCUIT</w:t>
      </w:r>
    </w:p>
    <w:p w14:paraId="7D5A9D0E" w14:textId="77777777" w:rsidR="00A83FB9" w:rsidRDefault="00A83FB9"/>
    <w:p w14:paraId="233D2B04" w14:textId="77777777" w:rsidR="00A83FB9" w:rsidRPr="00A83FB9" w:rsidRDefault="00A83FB9" w:rsidP="00A83FB9">
      <w:pPr>
        <w:rPr>
          <w:b/>
          <w:bCs/>
        </w:rPr>
      </w:pPr>
      <w:r w:rsidRPr="00A83FB9">
        <w:rPr>
          <w:b/>
          <w:bCs/>
        </w:rPr>
        <w:t>Hughes v. Garcia</w:t>
      </w:r>
    </w:p>
    <w:p w14:paraId="7CA7F691" w14:textId="77777777" w:rsidR="00A83FB9" w:rsidRPr="00A83FB9" w:rsidRDefault="00A83FB9" w:rsidP="00A83FB9">
      <w:r w:rsidRPr="00A83FB9">
        <w:t>US Court of Appeals for the Fifth Circuit</w:t>
      </w:r>
    </w:p>
    <w:p w14:paraId="52AB08C5" w14:textId="77777777" w:rsidR="00A83FB9" w:rsidRPr="00A83FB9" w:rsidRDefault="00A83FB9" w:rsidP="00A83FB9">
      <w:r w:rsidRPr="00A83FB9">
        <w:t>May 3, 2024</w:t>
      </w:r>
    </w:p>
    <w:p w14:paraId="067C3D38" w14:textId="77777777" w:rsidR="00A83FB9" w:rsidRPr="00A83FB9" w:rsidRDefault="00A83FB9" w:rsidP="00A83FB9">
      <w:r w:rsidRPr="00A83FB9">
        <w:t>Docket: 22-20621</w:t>
      </w:r>
    </w:p>
    <w:p w14:paraId="6745440A" w14:textId="77777777" w:rsidR="00A83FB9" w:rsidRPr="00A83FB9" w:rsidRDefault="00A83FB9" w:rsidP="00A83FB9"/>
    <w:p w14:paraId="67502466" w14:textId="77777777" w:rsidR="00A83FB9" w:rsidRPr="00A83FB9" w:rsidRDefault="00A83FB9" w:rsidP="00A83FB9">
      <w:pPr>
        <w:rPr>
          <w:i/>
          <w:iCs/>
        </w:rPr>
      </w:pPr>
      <w:r w:rsidRPr="00A83FB9">
        <w:rPr>
          <w:i/>
          <w:iCs/>
        </w:rPr>
        <w:t>LEO LAW Topic 9-4: Qualified Immunity denied for arrest for impersonating an officer made without probable cause.</w:t>
      </w:r>
    </w:p>
    <w:p w14:paraId="0891450F" w14:textId="77777777" w:rsidR="00A83FB9" w:rsidRPr="00A83FB9" w:rsidRDefault="00A83FB9" w:rsidP="00A83FB9"/>
    <w:p w14:paraId="4813086C" w14:textId="77777777" w:rsidR="00A83FB9" w:rsidRPr="00A83FB9" w:rsidRDefault="00A83FB9" w:rsidP="00A83FB9">
      <w:r w:rsidRPr="00A83FB9">
        <w:t>A former police officer turned Uber driver, Austin Hughes, reported a drunk driver swerving across a highway in Houston. Hughes was reporting the incident to 911 when the driver crashed. Hughes, still on the phone with 911, performed a citizen's arrest following Texas law. However, when police officers arrived at the scene, they released the drunk driver and arrested Hughes, charging him with a felony for impersonating a peace officer. Hughes spent thousands of dollars defending against these charges before they were dropped by the City of Houston. Hughes then filed a § 1983 suit against the two officers who arrested him. In the district court, the officers asserted the defense of qualified immunity and sought to have the case dismissed. The district court denied the officers qualified immunity and they appealed to the United States Court of Appeals for the Fifth Circuit.</w:t>
      </w:r>
    </w:p>
    <w:p w14:paraId="1D36E503" w14:textId="77777777" w:rsidR="00A83FB9" w:rsidRPr="00A83FB9" w:rsidRDefault="00A83FB9" w:rsidP="00A83FB9"/>
    <w:p w14:paraId="5DFC6C65" w14:textId="77777777" w:rsidR="00A83FB9" w:rsidRPr="00A83FB9" w:rsidRDefault="00A83FB9" w:rsidP="00A83FB9">
      <w:r w:rsidRPr="00A83FB9">
        <w:t>The Fifth Circuit affirmed the district court's decision, denying the officers' qualified immunity. The court found that Hughes had sufficiently pleaded that the officers violated his Fourth Amendment rights by arresting and prosecuting him without probable cause because they included material misstatements and omissions in their warrant affidavit and materials. The court also found that a corrected warrant affidavit could not have established probable cause to arrest and prosecute Hughes. The court concluded that no reasonable officer could have suspected Hughes committed a felony, given the inconsistencies in the drunk driver's statement, the driver's obvious intoxication, and the evidence supporting Hughes's account.</w:t>
      </w:r>
    </w:p>
    <w:p w14:paraId="37D74365" w14:textId="77777777" w:rsidR="00A83FB9" w:rsidRPr="00A83FB9" w:rsidRDefault="00A83FB9" w:rsidP="00A83FB9"/>
    <w:p w14:paraId="58415853" w14:textId="77777777" w:rsidR="00A83FB9" w:rsidRPr="00A83FB9" w:rsidRDefault="00A83FB9" w:rsidP="00A83FB9">
      <w:pPr>
        <w:rPr>
          <w:i/>
          <w:iCs/>
        </w:rPr>
      </w:pPr>
      <w:r w:rsidRPr="00A83FB9">
        <w:rPr>
          <w:i/>
          <w:iCs/>
        </w:rPr>
        <w:t>NOTE TO FLETC LGD – This would be a good add to LP 1211-13</w:t>
      </w:r>
    </w:p>
    <w:p w14:paraId="5DE651CD" w14:textId="77777777" w:rsidR="00A83FB9" w:rsidRPr="00A83FB9" w:rsidRDefault="00A83FB9" w:rsidP="00A83FB9"/>
    <w:p w14:paraId="34BC3E45" w14:textId="61E88AD3" w:rsidR="008A1E47" w:rsidRDefault="00A83FB9">
      <w:r>
        <w:t>SIXTH CIRCUIT</w:t>
      </w:r>
    </w:p>
    <w:p w14:paraId="1CC36971" w14:textId="77777777" w:rsidR="00A83FB9" w:rsidRDefault="00A83FB9"/>
    <w:p w14:paraId="7B5A3651" w14:textId="77777777" w:rsidR="008A3591" w:rsidRPr="00DE347B" w:rsidRDefault="008A3591" w:rsidP="008A3591">
      <w:pPr>
        <w:rPr>
          <w:b/>
          <w:bCs/>
        </w:rPr>
      </w:pPr>
      <w:r w:rsidRPr="00DE347B">
        <w:rPr>
          <w:b/>
          <w:bCs/>
        </w:rPr>
        <w:t>United States v. Kirtdoll</w:t>
      </w:r>
    </w:p>
    <w:p w14:paraId="6A95C18B" w14:textId="59D60399" w:rsidR="008A3591" w:rsidRDefault="008A3591" w:rsidP="008A3591">
      <w:r>
        <w:t>US Court of Appeals for the Sixth Circuit</w:t>
      </w:r>
    </w:p>
    <w:p w14:paraId="0E2EDE72" w14:textId="08EB546D" w:rsidR="008A3591" w:rsidRDefault="00DE347B" w:rsidP="008A3591">
      <w:r w:rsidRPr="00DE347B">
        <w:t>May 8, 2024</w:t>
      </w:r>
    </w:p>
    <w:p w14:paraId="371872F0" w14:textId="77777777" w:rsidR="008A3591" w:rsidRDefault="008A3591" w:rsidP="008A3591">
      <w:r>
        <w:t>Docket: 23-1585</w:t>
      </w:r>
    </w:p>
    <w:p w14:paraId="3FFE2B84" w14:textId="77777777" w:rsidR="008A3591" w:rsidRDefault="008A3591" w:rsidP="008A3591"/>
    <w:p w14:paraId="2A23A4DB" w14:textId="73D1AB0B" w:rsidR="008A3591" w:rsidRPr="00DE347B" w:rsidRDefault="00DE347B" w:rsidP="008A3591">
      <w:pPr>
        <w:rPr>
          <w:i/>
          <w:iCs/>
        </w:rPr>
      </w:pPr>
      <w:r w:rsidRPr="00DE347B">
        <w:rPr>
          <w:i/>
          <w:iCs/>
        </w:rPr>
        <w:t>LEO LAW Topic 4-3: The premises search warrant had sufficient information to clearly identify the premises to be searched and other errors did not violate the Fourth Amendment’s particularity requirement.</w:t>
      </w:r>
    </w:p>
    <w:p w14:paraId="34781BF5" w14:textId="77777777" w:rsidR="008A3591" w:rsidRDefault="008A3591" w:rsidP="008A3591"/>
    <w:p w14:paraId="7ED55AE5" w14:textId="7252C60E" w:rsidR="008A3591" w:rsidRDefault="008A3591" w:rsidP="008A3591">
      <w:r>
        <w:lastRenderedPageBreak/>
        <w:t>Tommy Kirtdoll</w:t>
      </w:r>
      <w:r w:rsidR="008465B4">
        <w:t xml:space="preserve"> </w:t>
      </w:r>
      <w:r>
        <w:t xml:space="preserve">was under investigation by a </w:t>
      </w:r>
      <w:r w:rsidR="008465B4">
        <w:t>drug trafficking</w:t>
      </w:r>
      <w:r>
        <w:t xml:space="preserve"> task force in southwest Michigan</w:t>
      </w:r>
      <w:r w:rsidR="008465B4">
        <w:t>.</w:t>
      </w:r>
      <w:r>
        <w:t xml:space="preserve"> After several undercover drug deals, the task force obtained a search warrant for Kirtdoll's house, which was described in detail in the warrant application. Upon executing the warrant, officers found drugs and distribution equipment, leading to Kirtdoll's indictment on multiple drug offenses.</w:t>
      </w:r>
    </w:p>
    <w:p w14:paraId="5A0CFBAD" w14:textId="77777777" w:rsidR="008A3591" w:rsidRDefault="008A3591" w:rsidP="008A3591"/>
    <w:p w14:paraId="3F1FF8AF" w14:textId="50213111" w:rsidR="008A3591" w:rsidRDefault="008A3591" w:rsidP="008A3591">
      <w:r>
        <w:t xml:space="preserve">Kirtdoll </w:t>
      </w:r>
      <w:r w:rsidR="00E71ABC">
        <w:t>filed</w:t>
      </w:r>
      <w:r w:rsidR="008465B4">
        <w:t xml:space="preserve"> a motion to exclude the evidence, arguing the errors in the description of the premises to be searched (Part B on a federal search warrant application) violated the particularity requirement of the Fourth Amendment. In support of this argument, he identified </w:t>
      </w:r>
      <w:r>
        <w:t>three errors</w:t>
      </w:r>
      <w:r w:rsidR="008465B4">
        <w:t xml:space="preserve">. First, </w:t>
      </w:r>
      <w:r>
        <w:t xml:space="preserve">the address listed </w:t>
      </w:r>
      <w:r w:rsidR="008465B4">
        <w:t xml:space="preserve">on the warrant </w:t>
      </w:r>
      <w:r>
        <w:t>was not his</w:t>
      </w:r>
      <w:r w:rsidR="008465B4">
        <w:t xml:space="preserve"> address. Second</w:t>
      </w:r>
      <w:r>
        <w:t>, the tax identification number was incorrect</w:t>
      </w:r>
      <w:r w:rsidR="008465B4">
        <w:t>. Lastly</w:t>
      </w:r>
      <w:r>
        <w:t xml:space="preserve">, the </w:t>
      </w:r>
      <w:r w:rsidR="008465B4">
        <w:t xml:space="preserve">listed </w:t>
      </w:r>
      <w:r>
        <w:t>property owner's name was not his. He argued that these mistakes rendered the warrant unconstitutional due to lack of particularity, as required by the Fourth Amendment. The district court denied Kirtdoll's motion, ruling that the warrant's other accurate descriptors were particular enough to satisfy the Fourth Amendment. Kirtdoll pleaded guilty but reserved the right to appeal the district court's decision.</w:t>
      </w:r>
    </w:p>
    <w:p w14:paraId="48942D70" w14:textId="77777777" w:rsidR="008A3591" w:rsidRDefault="008A3591" w:rsidP="008A3591"/>
    <w:p w14:paraId="650DE127" w14:textId="5C7F6B0F" w:rsidR="008A3591" w:rsidRDefault="008A3591" w:rsidP="008A3591">
      <w:r>
        <w:t>The United States Court of Appeals for the Sixth Circuit reviewed the warrant's particularity. The court held that the Fourth Amendment does not require perfection in search warrants</w:t>
      </w:r>
      <w:r w:rsidR="008465B4">
        <w:t>. Rather, it only requires</w:t>
      </w:r>
      <w:r>
        <w:t xml:space="preserve"> enough detail for the executing officer to identify the intended place with reasonable </w:t>
      </w:r>
      <w:r w:rsidR="008465B4">
        <w:t>certainty</w:t>
      </w:r>
      <w:r>
        <w:t>. The court found that despite the errors, the warrant contained three descriptors that indisputably applied only to Kirtdoll's house and clearly identified it as the premises to be searched. These included the house's geographic location, a detailed description of the house, and a unique identifier - a red star affixed to its west side. The court concluded that the warrant for Kirtdoll's house was specific enough to meet the Fourth Amendment's particularity requirement, and thus, the district court properly denied Kirtdoll's motion to suppress. The court affirmed the district court's decision.</w:t>
      </w:r>
    </w:p>
    <w:p w14:paraId="677B0845" w14:textId="77777777" w:rsidR="008A3591" w:rsidRDefault="008A3591" w:rsidP="008A3591"/>
    <w:p w14:paraId="71BF392B" w14:textId="70BFE921" w:rsidR="00DE347B" w:rsidRPr="008465B4" w:rsidRDefault="008465B4" w:rsidP="008A3591">
      <w:pPr>
        <w:rPr>
          <w:i/>
          <w:iCs/>
        </w:rPr>
      </w:pPr>
      <w:r w:rsidRPr="008465B4">
        <w:rPr>
          <w:i/>
          <w:iCs/>
        </w:rPr>
        <w:t>NOTE TO FLETC LGD – This would be a good add to LP 1211-1</w:t>
      </w:r>
      <w:r w:rsidR="00BE79BE">
        <w:rPr>
          <w:i/>
          <w:iCs/>
        </w:rPr>
        <w:t>5</w:t>
      </w:r>
    </w:p>
    <w:p w14:paraId="5C367CD9" w14:textId="77777777" w:rsidR="008A3591" w:rsidRDefault="008A3591" w:rsidP="008A3591"/>
    <w:p w14:paraId="5F69C64C" w14:textId="1DE8D46B" w:rsidR="008A3591" w:rsidRDefault="00A83FB9" w:rsidP="008A3591">
      <w:r>
        <w:t>TENTH CIRCUIT</w:t>
      </w:r>
    </w:p>
    <w:p w14:paraId="4440ADF4" w14:textId="77777777" w:rsidR="00A83FB9" w:rsidRDefault="00A83FB9" w:rsidP="008A3591"/>
    <w:p w14:paraId="7065245F" w14:textId="77777777" w:rsidR="00646101" w:rsidRPr="008B4DF9" w:rsidRDefault="00646101" w:rsidP="00646101">
      <w:pPr>
        <w:rPr>
          <w:b/>
          <w:bCs/>
        </w:rPr>
      </w:pPr>
      <w:r w:rsidRPr="008B4DF9">
        <w:rPr>
          <w:b/>
          <w:bCs/>
        </w:rPr>
        <w:t>Lowther v. Children Youth and Family Department</w:t>
      </w:r>
    </w:p>
    <w:p w14:paraId="4523578A" w14:textId="186D6BB1" w:rsidR="00646101" w:rsidRDefault="00646101" w:rsidP="00646101">
      <w:r>
        <w:t>US Court of Appeals for the Tenth Circuit</w:t>
      </w:r>
    </w:p>
    <w:p w14:paraId="77E21F5F" w14:textId="0FB8E5C4" w:rsidR="00646101" w:rsidRDefault="00BC7488" w:rsidP="00646101">
      <w:r w:rsidRPr="00BC7488">
        <w:t>May 7, 2024</w:t>
      </w:r>
    </w:p>
    <w:p w14:paraId="38DA8256" w14:textId="77777777" w:rsidR="00646101" w:rsidRDefault="00646101" w:rsidP="00646101">
      <w:r>
        <w:t>Docket: 23-2056</w:t>
      </w:r>
    </w:p>
    <w:p w14:paraId="31C6FCC7" w14:textId="77777777" w:rsidR="00646101" w:rsidRDefault="00646101" w:rsidP="00646101"/>
    <w:p w14:paraId="53A3FC56" w14:textId="771B93DD" w:rsidR="00646101" w:rsidRPr="008B4DF9" w:rsidRDefault="00BC7488" w:rsidP="00646101">
      <w:pPr>
        <w:rPr>
          <w:i/>
          <w:iCs/>
        </w:rPr>
      </w:pPr>
      <w:r w:rsidRPr="008B4DF9">
        <w:rPr>
          <w:i/>
          <w:iCs/>
        </w:rPr>
        <w:t>LEO LAW Topic</w:t>
      </w:r>
      <w:r w:rsidR="008B4DF9" w:rsidRPr="008B4DF9">
        <w:rPr>
          <w:i/>
          <w:iCs/>
        </w:rPr>
        <w:t>s 1-6, 9-4: Warrantless arrest was based on probable cause and warrantless entry violation was not clearly established</w:t>
      </w:r>
      <w:r w:rsidR="00875193">
        <w:rPr>
          <w:i/>
          <w:iCs/>
        </w:rPr>
        <w:t xml:space="preserve"> as to preclude qualified immunity.</w:t>
      </w:r>
      <w:r w:rsidR="008B4DF9" w:rsidRPr="008B4DF9">
        <w:rPr>
          <w:i/>
          <w:iCs/>
        </w:rPr>
        <w:t xml:space="preserve"> (</w:t>
      </w:r>
      <w:r w:rsidR="00875193">
        <w:rPr>
          <w:i/>
          <w:iCs/>
        </w:rPr>
        <w:t>A</w:t>
      </w:r>
      <w:r w:rsidR="008B4DF9" w:rsidRPr="008B4DF9">
        <w:rPr>
          <w:i/>
          <w:iCs/>
        </w:rPr>
        <w:t>lso</w:t>
      </w:r>
      <w:r w:rsidR="00875193">
        <w:rPr>
          <w:i/>
          <w:iCs/>
        </w:rPr>
        <w:t>,</w:t>
      </w:r>
      <w:r w:rsidR="008B4DF9" w:rsidRPr="008B4DF9">
        <w:rPr>
          <w:i/>
          <w:iCs/>
        </w:rPr>
        <w:t xml:space="preserve"> Fourteenth Amendment Due Process). </w:t>
      </w:r>
    </w:p>
    <w:p w14:paraId="55144509" w14:textId="77777777" w:rsidR="00646101" w:rsidRDefault="00646101" w:rsidP="00646101"/>
    <w:p w14:paraId="1DEC52A3" w14:textId="15057487" w:rsidR="00875193" w:rsidRDefault="00875193" w:rsidP="00875193">
      <w:r w:rsidRPr="00875193">
        <w:t>New Mexico’s Children, Youth, and Family Department received</w:t>
      </w:r>
      <w:r>
        <w:t xml:space="preserve"> </w:t>
      </w:r>
      <w:r w:rsidRPr="00875193">
        <w:t>an anonymous report that Dr. Adam Lowther was sexually abusing his four-year-old</w:t>
      </w:r>
      <w:r>
        <w:t xml:space="preserve"> </w:t>
      </w:r>
      <w:r w:rsidRPr="00875193">
        <w:t>daughter, A.L. The report was based on a disclosure A.L. made to her schoolteacher</w:t>
      </w:r>
      <w:r>
        <w:t xml:space="preserve"> </w:t>
      </w:r>
      <w:r w:rsidRPr="00875193">
        <w:t>and A.L.’s inappropriate behavior in class. Within a few hours, a social worker and</w:t>
      </w:r>
      <w:r>
        <w:t xml:space="preserve"> </w:t>
      </w:r>
      <w:r w:rsidRPr="00875193">
        <w:t>several law enforcement officers entered the Lowther home without a warrant and</w:t>
      </w:r>
      <w:r>
        <w:t xml:space="preserve"> </w:t>
      </w:r>
      <w:r w:rsidRPr="00875193">
        <w:t>took A.L. and her older brother into custody. Dr. Lowther was arrested, and the</w:t>
      </w:r>
      <w:r>
        <w:t xml:space="preserve"> </w:t>
      </w:r>
      <w:r w:rsidRPr="00875193">
        <w:t>children were eventually returned to their mother, Jessica Lowther. But the children</w:t>
      </w:r>
      <w:r>
        <w:t xml:space="preserve"> </w:t>
      </w:r>
      <w:r w:rsidRPr="00875193">
        <w:t>were removed a second time after it became apparent Dr. Lowther would be released</w:t>
      </w:r>
      <w:r>
        <w:t xml:space="preserve"> </w:t>
      </w:r>
      <w:r w:rsidRPr="00875193">
        <w:t>from jail.</w:t>
      </w:r>
      <w:r>
        <w:t xml:space="preserve"> </w:t>
      </w:r>
      <w:r w:rsidRPr="00875193">
        <w:t>Ultimately, the charges against Dr. Lowther were dismissed and the children</w:t>
      </w:r>
      <w:r>
        <w:t xml:space="preserve"> </w:t>
      </w:r>
      <w:r w:rsidRPr="00875193">
        <w:t>returned to their parents.</w:t>
      </w:r>
    </w:p>
    <w:p w14:paraId="21716358" w14:textId="77777777" w:rsidR="00875193" w:rsidRDefault="00875193" w:rsidP="00646101"/>
    <w:p w14:paraId="5EE1260F" w14:textId="1874F7B0" w:rsidR="00646101" w:rsidRDefault="00646101" w:rsidP="00646101">
      <w:r>
        <w:lastRenderedPageBreak/>
        <w:t xml:space="preserve">Dr. Adam Lowther and his wife sued various state officials on behalf of themselves and their children, under 42 U.S.C. § 1983 </w:t>
      </w:r>
      <w:r w:rsidR="00875193">
        <w:t>for violating their Fourth Amendment right to be free from unreasonable government searches and seizures by making the warrantless entry into their home followed by the warrantless arrest of Dr. Lowther. They also brought several pendent</w:t>
      </w:r>
      <w:r>
        <w:t xml:space="preserve"> state law claims under the New Mexico Tort Claims Act. The United States District Court for the District of New Mexico granted summary judgment in favor of the defendants, concluding that they were entitled to qualified immunity on the § 1983 claims and that the state law claims failed for similar reasons. The </w:t>
      </w:r>
      <w:proofErr w:type="spellStart"/>
      <w:r>
        <w:t>Lowthers</w:t>
      </w:r>
      <w:proofErr w:type="spellEnd"/>
      <w:r>
        <w:t xml:space="preserve"> appealed the decision.</w:t>
      </w:r>
    </w:p>
    <w:p w14:paraId="7E7DFDEA" w14:textId="77777777" w:rsidR="00646101" w:rsidRDefault="00646101" w:rsidP="00646101"/>
    <w:p w14:paraId="735F2505" w14:textId="0224D353" w:rsidR="00646101" w:rsidRDefault="00646101" w:rsidP="00646101">
      <w:r>
        <w:t>The United States Court of Appeals for the Tenth Circuit affirmed the district court's decision. The court held that</w:t>
      </w:r>
      <w:r w:rsidR="00875193">
        <w:t xml:space="preserve"> assuming the warrantless entry was not supported by exigent circumstances, the violation was not “clearly established” and therefore the officers were entitled to qualified immunity. </w:t>
      </w:r>
      <w:r>
        <w:t xml:space="preserve">The court </w:t>
      </w:r>
      <w:r w:rsidR="00875193">
        <w:t>further</w:t>
      </w:r>
      <w:r>
        <w:t xml:space="preserve"> held that the officials had probable cause to arrest Dr. Lowther. Therefore, the officials were entitled to qualified immunity, and the </w:t>
      </w:r>
      <w:proofErr w:type="spellStart"/>
      <w:r>
        <w:t>Lowthers</w:t>
      </w:r>
      <w:proofErr w:type="spellEnd"/>
      <w:r>
        <w:t>' claims were dismissed.</w:t>
      </w:r>
    </w:p>
    <w:p w14:paraId="67B6E864" w14:textId="77777777" w:rsidR="00646101" w:rsidRDefault="00646101" w:rsidP="008A3591"/>
    <w:p w14:paraId="770EB397" w14:textId="77777777" w:rsidR="008A3591" w:rsidRDefault="008A3591" w:rsidP="008A3591"/>
    <w:p w14:paraId="5AA7FB59" w14:textId="77777777" w:rsidR="00646101" w:rsidRPr="008B4DF9" w:rsidRDefault="00646101" w:rsidP="00646101">
      <w:pPr>
        <w:rPr>
          <w:b/>
          <w:bCs/>
        </w:rPr>
      </w:pPr>
      <w:r w:rsidRPr="008B4DF9">
        <w:rPr>
          <w:b/>
          <w:bCs/>
        </w:rPr>
        <w:t>United States v. Daniels</w:t>
      </w:r>
    </w:p>
    <w:p w14:paraId="4E122AD8" w14:textId="265DC724" w:rsidR="00646101" w:rsidRDefault="00646101" w:rsidP="00646101">
      <w:r>
        <w:t>US Court of Appeals for the Tenth Circuit</w:t>
      </w:r>
    </w:p>
    <w:p w14:paraId="2A028CE4" w14:textId="7662B092" w:rsidR="00646101" w:rsidRDefault="008B4DF9" w:rsidP="00646101">
      <w:r w:rsidRPr="008B4DF9">
        <w:t>May 8, 2024</w:t>
      </w:r>
    </w:p>
    <w:p w14:paraId="3EE3DA4C" w14:textId="77777777" w:rsidR="00646101" w:rsidRDefault="00646101" w:rsidP="00646101">
      <w:r>
        <w:t>Docket: 22-1378</w:t>
      </w:r>
    </w:p>
    <w:p w14:paraId="463A7CC9" w14:textId="77777777" w:rsidR="00646101" w:rsidRDefault="00646101" w:rsidP="00646101"/>
    <w:p w14:paraId="2141F5F9" w14:textId="5A44D75B" w:rsidR="00646101" w:rsidRPr="008B4DF9" w:rsidRDefault="008B4DF9" w:rsidP="00646101">
      <w:pPr>
        <w:rPr>
          <w:i/>
          <w:iCs/>
        </w:rPr>
      </w:pPr>
      <w:r w:rsidRPr="008B4DF9">
        <w:rPr>
          <w:i/>
          <w:iCs/>
        </w:rPr>
        <w:t xml:space="preserve">LEO LAW Topic 1-7, </w:t>
      </w:r>
      <w:r w:rsidR="000B1BAE">
        <w:rPr>
          <w:i/>
          <w:iCs/>
        </w:rPr>
        <w:t xml:space="preserve">1-11, </w:t>
      </w:r>
      <w:r w:rsidRPr="008B4DF9">
        <w:rPr>
          <w:i/>
          <w:iCs/>
        </w:rPr>
        <w:t>6-7:  Facts did not amount to reasonable suspicion to support investigative detention, so the firearm was suppressed under the exclusionary rule.</w:t>
      </w:r>
    </w:p>
    <w:p w14:paraId="43D3466D" w14:textId="77777777" w:rsidR="008B4DF9" w:rsidRDefault="008B4DF9" w:rsidP="00646101"/>
    <w:p w14:paraId="3267B0B2" w14:textId="77777777" w:rsidR="000B1BAE" w:rsidRDefault="000B1BAE" w:rsidP="00646101">
      <w:r w:rsidRPr="000B1BAE">
        <w:t>T</w:t>
      </w:r>
      <w:r>
        <w:t xml:space="preserve">he </w:t>
      </w:r>
      <w:r w:rsidRPr="000B1BAE">
        <w:t>Aurora Police Department</w:t>
      </w:r>
      <w:r>
        <w:t xml:space="preserve"> received an anonymous caller who expressed</w:t>
      </w:r>
      <w:r w:rsidRPr="000B1BAE">
        <w:t xml:space="preserve"> concern about three Black men, wearing dark hoodies and jeans, intermittently taking guns in and out of their pockets, and getting in and out of a dark SUV. The caller believed they were “getting ready to do something,” but reported no illegality.</w:t>
      </w:r>
      <w:r>
        <w:t xml:space="preserve"> </w:t>
      </w:r>
      <w:r w:rsidRPr="000B1BAE">
        <w:t xml:space="preserve">The police arrived at the scene and detained </w:t>
      </w:r>
      <w:r>
        <w:t xml:space="preserve">Lyndell </w:t>
      </w:r>
      <w:r w:rsidRPr="000B1BAE">
        <w:t>Daniels, who was standing near the SUV. The officers did not observe any illegal activity or firearms when they arrived.</w:t>
      </w:r>
      <w:r>
        <w:t xml:space="preserve"> The officers identified Daniels and </w:t>
      </w:r>
      <w:r w:rsidR="00C3470C">
        <w:t xml:space="preserve">subsequently used DNA evidence to </w:t>
      </w:r>
      <w:r w:rsidR="00646101">
        <w:t xml:space="preserve">link him to a stolen Glock firearm </w:t>
      </w:r>
      <w:r>
        <w:t>that was found in the SUV</w:t>
      </w:r>
      <w:r w:rsidR="00646101">
        <w:t xml:space="preserve">. </w:t>
      </w:r>
    </w:p>
    <w:p w14:paraId="47937AB5" w14:textId="77777777" w:rsidR="000B1BAE" w:rsidRDefault="000B1BAE" w:rsidP="00646101"/>
    <w:p w14:paraId="7A860B26" w14:textId="4EF27C32" w:rsidR="00646101" w:rsidRDefault="00646101" w:rsidP="00646101">
      <w:r>
        <w:t xml:space="preserve">Daniels was charged with being a felon in possession of a firearm. Daniels moved to suppress </w:t>
      </w:r>
      <w:r w:rsidR="000B1BAE">
        <w:t>the firearm</w:t>
      </w:r>
      <w:r>
        <w:t xml:space="preserve"> as the fruit of unlawful investigative detention, arguing that the officers </w:t>
      </w:r>
      <w:r w:rsidR="000B1BAE">
        <w:t>lacked the requisite</w:t>
      </w:r>
      <w:r>
        <w:t xml:space="preserve"> reasonable suspicion to detain him. The district court agreed with Daniels and granted his motion. The government appealed, arguing that the district court erred because there was reasonable suspicion to detain Daniels.</w:t>
      </w:r>
    </w:p>
    <w:p w14:paraId="4563ECF8" w14:textId="77777777" w:rsidR="00646101" w:rsidRDefault="00646101" w:rsidP="00646101"/>
    <w:p w14:paraId="54B45A42" w14:textId="2586BC57" w:rsidR="00646101" w:rsidRDefault="00646101" w:rsidP="00646101">
      <w:r>
        <w:t>The United States Court of Appeals for the Tenth Circuit affirmed the district court's decision. The court found that the totality of the circumstances known to the officer when he detained Daniels did not amount to reasonable suspicion. The court noted that the 911 call, the presence and actions of the SUV, the time of the encounter, and the location of the encounter were not sufficient to establish reasonable suspicion. The court concluded that Daniels' detention was unreasonable under the Fourth Amendment, and the district court's grant of Daniels' motion to suppress was proper.</w:t>
      </w:r>
    </w:p>
    <w:p w14:paraId="07EC9177" w14:textId="77777777" w:rsidR="00A83FB9" w:rsidRDefault="00A83FB9" w:rsidP="008A3591"/>
    <w:p w14:paraId="61E56B61" w14:textId="19953AF4" w:rsidR="00646101" w:rsidRDefault="00A83FB9" w:rsidP="008A3591">
      <w:r>
        <w:t>CALIFORNIA</w:t>
      </w:r>
    </w:p>
    <w:p w14:paraId="66975811" w14:textId="77777777" w:rsidR="00A83FB9" w:rsidRDefault="00A83FB9" w:rsidP="008A3591"/>
    <w:p w14:paraId="5D3FE8E3" w14:textId="77777777" w:rsidR="00C72054" w:rsidRPr="00E71EF6" w:rsidRDefault="00C72054" w:rsidP="00C72054">
      <w:pPr>
        <w:rPr>
          <w:b/>
          <w:bCs/>
        </w:rPr>
      </w:pPr>
      <w:r w:rsidRPr="00E71EF6">
        <w:rPr>
          <w:b/>
          <w:bCs/>
        </w:rPr>
        <w:t>In re Randy C.</w:t>
      </w:r>
    </w:p>
    <w:p w14:paraId="6FD2B59F" w14:textId="581A0DE1" w:rsidR="00C72054" w:rsidRDefault="00C72054" w:rsidP="00C72054">
      <w:r>
        <w:t>California Courts of Appeal</w:t>
      </w:r>
    </w:p>
    <w:p w14:paraId="101F19E5" w14:textId="7A936852" w:rsidR="00C72054" w:rsidRDefault="00C72054" w:rsidP="00C72054">
      <w:r>
        <w:t>May 3, 2024</w:t>
      </w:r>
    </w:p>
    <w:p w14:paraId="30C31B34" w14:textId="4182DCF8" w:rsidR="00C72054" w:rsidRDefault="00C72054" w:rsidP="00C72054"/>
    <w:p w14:paraId="1B0F1D72" w14:textId="3102EB5E" w:rsidR="00E71EF6" w:rsidRPr="00336DF1" w:rsidRDefault="00E71EF6" w:rsidP="00C72054">
      <w:pPr>
        <w:rPr>
          <w:i/>
          <w:iCs/>
        </w:rPr>
      </w:pPr>
      <w:r w:rsidRPr="00336DF1">
        <w:rPr>
          <w:i/>
          <w:iCs/>
        </w:rPr>
        <w:t xml:space="preserve">LEO LAW Topic </w:t>
      </w:r>
      <w:r w:rsidR="00336DF1" w:rsidRPr="00336DF1">
        <w:rPr>
          <w:i/>
          <w:iCs/>
        </w:rPr>
        <w:t>1-6</w:t>
      </w:r>
      <w:r w:rsidR="00336DF1">
        <w:rPr>
          <w:i/>
          <w:iCs/>
        </w:rPr>
        <w:t>, 5-13</w:t>
      </w:r>
      <w:r w:rsidR="00336DF1" w:rsidRPr="00336DF1">
        <w:rPr>
          <w:i/>
          <w:iCs/>
        </w:rPr>
        <w:t>: Smell of unburnt marijuana and observed blunt established probable cause to support the search of a vehicle under the automobile exception.</w:t>
      </w:r>
    </w:p>
    <w:p w14:paraId="47F76D49" w14:textId="77777777" w:rsidR="00C72054" w:rsidRDefault="00C72054" w:rsidP="00C72054"/>
    <w:p w14:paraId="7A2869B9" w14:textId="2D99C076" w:rsidR="00C72054" w:rsidRDefault="00C72054" w:rsidP="00C72054">
      <w:r>
        <w:t>Randy C.,</w:t>
      </w:r>
      <w:r w:rsidR="000B1BAE">
        <w:t xml:space="preserve"> a minor, </w:t>
      </w:r>
      <w:r>
        <w:t>was stopped by police for driving a car with illegally tinted windows. During the stop, the officer smelled unburnt marijuana and observed a marijuana blunt on the passenger's lap. The officer conducted a search of the vehicle, finding a handgun in the glove compartment and an AR-15 firearm in the trunk. Randy C. was subsequently charged with multiple felony offenses, including possession of an assault weapon by a minor and possession of a concealed firearm and ammunition in a vehicle by a minor. He moved to suppress the evidence, arguing there was no probable cause to search the vehicle.</w:t>
      </w:r>
    </w:p>
    <w:p w14:paraId="7B6CE719" w14:textId="77777777" w:rsidR="00C72054" w:rsidRDefault="00C72054" w:rsidP="00C72054"/>
    <w:p w14:paraId="1BEAA4E4" w14:textId="6881F404" w:rsidR="00C72054" w:rsidRDefault="00C72054" w:rsidP="00C72054">
      <w:r>
        <w:t>The juvenile court denied Randy C.'s motion to suppress the evidence. Following this ruling, Randy C. admitted to the felony offenses charged</w:t>
      </w:r>
      <w:r w:rsidR="000B1BAE">
        <w:t>.</w:t>
      </w:r>
      <w:r>
        <w:t xml:space="preserve"> Randy C. appealed the denial of his motion to suppress, arguing that </w:t>
      </w:r>
      <w:r w:rsidR="000B1BAE">
        <w:t>the</w:t>
      </w:r>
      <w:r>
        <w:t xml:space="preserve"> police </w:t>
      </w:r>
      <w:r w:rsidR="000B1BAE">
        <w:t>violated his Fourth Amendment rights</w:t>
      </w:r>
      <w:r>
        <w:t>.</w:t>
      </w:r>
    </w:p>
    <w:p w14:paraId="13C48D95" w14:textId="77777777" w:rsidR="00C72054" w:rsidRDefault="00C72054" w:rsidP="00C72054"/>
    <w:p w14:paraId="724A9DC7" w14:textId="7E554F12" w:rsidR="00C72054" w:rsidRDefault="00C72054" w:rsidP="00C72054">
      <w:r>
        <w:t xml:space="preserve">The Court of Appeal of the State of California First Appellate District affirmed the juvenile court's decision. The court held that the officer had probable cause to search the vehicle based on the smell of unburnt marijuana and the observation of a marijuana blunt in the passenger's lap, which was considered an open container of marijuana in violation of the law. </w:t>
      </w:r>
      <w:r w:rsidR="000B1BAE">
        <w:t>The police arrived at the scene and detained Daniels, who was standing near the SUV. The officers did not observe any illegal activity or firearms when they arrived.</w:t>
      </w:r>
    </w:p>
    <w:p w14:paraId="46A3D390" w14:textId="77777777" w:rsidR="00C72054" w:rsidRDefault="00C72054" w:rsidP="008A3591"/>
    <w:p w14:paraId="2E21BCC0" w14:textId="524FC7D1" w:rsidR="00A83FB9" w:rsidRDefault="00A83FB9" w:rsidP="008A3591">
      <w:r>
        <w:t>OHIO</w:t>
      </w:r>
    </w:p>
    <w:p w14:paraId="4B26449D" w14:textId="77777777" w:rsidR="00646101" w:rsidRDefault="00646101" w:rsidP="008A3591"/>
    <w:p w14:paraId="0DA2477A" w14:textId="77777777" w:rsidR="008A3591" w:rsidRPr="00336DF1" w:rsidRDefault="008A3591" w:rsidP="008A3591">
      <w:pPr>
        <w:rPr>
          <w:b/>
          <w:bCs/>
        </w:rPr>
      </w:pPr>
      <w:r w:rsidRPr="00336DF1">
        <w:rPr>
          <w:b/>
          <w:bCs/>
        </w:rPr>
        <w:t>State v. Taylor</w:t>
      </w:r>
    </w:p>
    <w:p w14:paraId="0D57B132" w14:textId="6B27A5AC" w:rsidR="008A3591" w:rsidRDefault="008A3591" w:rsidP="008A3591">
      <w:r>
        <w:t>Supreme Court of Ohio</w:t>
      </w:r>
    </w:p>
    <w:p w14:paraId="00CFAC4B" w14:textId="6B0B97C4" w:rsidR="008A3591" w:rsidRDefault="008A3591" w:rsidP="008A3591">
      <w:r>
        <w:t>May 9, 2024</w:t>
      </w:r>
    </w:p>
    <w:p w14:paraId="3A115917" w14:textId="77777777" w:rsidR="008A3591" w:rsidRDefault="008A3591" w:rsidP="008A3591"/>
    <w:p w14:paraId="7F8D9A4C" w14:textId="586078BF" w:rsidR="008A3591" w:rsidRPr="00336DF1" w:rsidRDefault="00336DF1" w:rsidP="008A3591">
      <w:pPr>
        <w:rPr>
          <w:i/>
          <w:iCs/>
        </w:rPr>
      </w:pPr>
      <w:r w:rsidRPr="00336DF1">
        <w:rPr>
          <w:i/>
          <w:iCs/>
        </w:rPr>
        <w:t>LEO LAW Topic 7-13: Miranda warning satisfies Sixth Amendment requirement for waiver of the Sixth Amendment right to counsel.</w:t>
      </w:r>
    </w:p>
    <w:p w14:paraId="76655F53" w14:textId="77777777" w:rsidR="008A3591" w:rsidRDefault="008A3591" w:rsidP="008A3591"/>
    <w:p w14:paraId="2A06EDF6" w14:textId="5193AB62" w:rsidR="008A3591" w:rsidRDefault="008A3591" w:rsidP="008A3591">
      <w:r>
        <w:t>Damon Taylor</w:t>
      </w:r>
      <w:r w:rsidR="000B1BAE">
        <w:t xml:space="preserve"> </w:t>
      </w:r>
      <w:r>
        <w:t>was charged with felony murder in the adult court after the juvenile court found probable cause to believe that Taylor was complicit in a murder. The Tenth District Court of Appeals vacated the conviction, arguing that the adult court lacked jurisdiction to convict Taylor of felony murder as the juvenile court had not found probable cause for that specific offense. The appellate court also ruled that Taylor's statements to the police should have been suppressed as his Sixth Amendment right to counsel had been violated.</w:t>
      </w:r>
    </w:p>
    <w:p w14:paraId="66E3C51D" w14:textId="77777777" w:rsidR="008A3591" w:rsidRDefault="008A3591" w:rsidP="008A3591"/>
    <w:p w14:paraId="608AE807" w14:textId="348CDF0C" w:rsidR="008A3591" w:rsidRDefault="008A3591" w:rsidP="008A3591">
      <w:r>
        <w:t>The Supreme Court of Ohio disagreed with the appellate court's decision</w:t>
      </w:r>
      <w:r w:rsidR="000B1BAE">
        <w:t xml:space="preserve"> as to</w:t>
      </w:r>
      <w:r>
        <w:t xml:space="preserve"> Taylor's Sixth Amendment right to counsel</w:t>
      </w:r>
      <w:r w:rsidR="000B1BAE">
        <w:t>. T</w:t>
      </w:r>
      <w:r>
        <w:t>he Court held that this right did not attach until a criminal prosecution had commenced, which occurred after the police interrogated Taylor. Therefore, the state did not violate Taylor's Sixth Amendment right to counsel when it interviewed him in the absence of his attorney. Even if the Sixth Amendment right to counsel had attached, Taylor validly waived it when he relinquished his Fifth Amendment right to counsel after he received the Miranda warnings.</w:t>
      </w:r>
      <w:r w:rsidR="000B1BAE">
        <w:t xml:space="preserve"> </w:t>
      </w:r>
      <w:r>
        <w:t>The Supreme Court reversed the judgment of the Tenth District Court of Appeals and remanded the matter to that court for further proceedings.</w:t>
      </w:r>
    </w:p>
    <w:p w14:paraId="4DC2C072" w14:textId="77777777" w:rsidR="008A3591" w:rsidRDefault="008A3591" w:rsidP="008A3591"/>
    <w:p w14:paraId="7F0A4066" w14:textId="3FADA1E9" w:rsidR="008A3591" w:rsidRDefault="00E71ABC" w:rsidP="008A3591">
      <w:r>
        <w:lastRenderedPageBreak/>
        <w:t>NEVADA</w:t>
      </w:r>
    </w:p>
    <w:p w14:paraId="5E7D5DD7" w14:textId="77777777" w:rsidR="00E71ABC" w:rsidRDefault="00E71ABC" w:rsidP="008A3591"/>
    <w:p w14:paraId="4B76DF4C" w14:textId="01C771D1" w:rsidR="00C72054" w:rsidRPr="00336DF1" w:rsidRDefault="00336DF1" w:rsidP="00C72054">
      <w:pPr>
        <w:rPr>
          <w:b/>
          <w:bCs/>
        </w:rPr>
      </w:pPr>
      <w:r w:rsidRPr="00336DF1">
        <w:rPr>
          <w:b/>
          <w:bCs/>
        </w:rPr>
        <w:t>Gilbert v. State</w:t>
      </w:r>
    </w:p>
    <w:p w14:paraId="6EB33BCD" w14:textId="7002BFFF" w:rsidR="00C72054" w:rsidRDefault="00C72054" w:rsidP="00C72054">
      <w:r>
        <w:t>Supreme Court of Nevada</w:t>
      </w:r>
    </w:p>
    <w:p w14:paraId="7E1BC481" w14:textId="348C8A8E" w:rsidR="00C72054" w:rsidRDefault="00C72054" w:rsidP="00C72054">
      <w:r>
        <w:t>May 9, 2024</w:t>
      </w:r>
    </w:p>
    <w:p w14:paraId="0A4E7CA2" w14:textId="77777777" w:rsidR="00C72054" w:rsidRDefault="00C72054" w:rsidP="00C72054"/>
    <w:p w14:paraId="7498992A" w14:textId="1BF55A1D" w:rsidR="00C72054" w:rsidRPr="00AE415B" w:rsidRDefault="00336DF1" w:rsidP="00C72054">
      <w:pPr>
        <w:rPr>
          <w:i/>
          <w:iCs/>
        </w:rPr>
      </w:pPr>
      <w:r w:rsidRPr="00AE415B">
        <w:rPr>
          <w:i/>
          <w:iCs/>
        </w:rPr>
        <w:t>LEO LAW Topic</w:t>
      </w:r>
      <w:r w:rsidR="00AE415B" w:rsidRPr="00AE415B">
        <w:rPr>
          <w:i/>
          <w:iCs/>
        </w:rPr>
        <w:t xml:space="preserve"> 5-20: A subjective investigatory motive by law enforcement does not necessarily invalidate an otherwise lawful inventory search.</w:t>
      </w:r>
    </w:p>
    <w:p w14:paraId="1D38C33E" w14:textId="77777777" w:rsidR="00C72054" w:rsidRDefault="00C72054" w:rsidP="00C72054"/>
    <w:p w14:paraId="48EC08B7" w14:textId="11F52BF4" w:rsidR="00C72054" w:rsidRDefault="00C72054" w:rsidP="00C72054">
      <w:r>
        <w:t>Jesse Gilbert</w:t>
      </w:r>
      <w:r w:rsidR="000B1BAE">
        <w:t xml:space="preserve"> </w:t>
      </w:r>
      <w:r>
        <w:t>was pulled over by a law enforcement deputy due to a non-operating license plate light. Gilbert was arrested on an active warrant, and the deputy conducted a warrantless search of the vehicle. During the search, the deputy found a handgun under the driver's seat. Gilbert, an ex-felon, was charged with possession of a firearm and moved to suppress the evidence, arguing that the search was not a true inventory search but a ruse to conduct an investigatory search.</w:t>
      </w:r>
      <w:r w:rsidR="000B1BAE">
        <w:t xml:space="preserve"> </w:t>
      </w:r>
      <w:r>
        <w:t>The district court denied Gilbert's motion, finding that the deputy appropriately impounded the vehicle and the inventory search was reasonable. Gilbert appealed his subsequent conviction based on the search and the unsuppressed evidence.</w:t>
      </w:r>
    </w:p>
    <w:p w14:paraId="22173F55" w14:textId="77777777" w:rsidR="00C72054" w:rsidRDefault="00C72054" w:rsidP="00C72054"/>
    <w:p w14:paraId="332E9D8E" w14:textId="05A3EEBC" w:rsidR="00C72054" w:rsidRDefault="00C72054" w:rsidP="00C72054">
      <w:r>
        <w:t>The Supreme Court of Nevada clarified that an investigatory motive does not necessarily invalidate an inventory search as long as the search that occurred is the same as the inventory-based search that would have happened absent any such motivation. The court also stated that a court deciding a suppression motion must determine the search's reasonableness under the totality of the circumstances by evaluating the extent to which law enforcement departed from the standardized procedures, whether the scope of the search was as expected in light of the underlying justifications for inventory searches, and whether the inventory produced served the purposes of an inventory search. The court concluded that the search was reasonable and denied Gilbert's motion to suppress.</w:t>
      </w:r>
    </w:p>
    <w:p w14:paraId="6976E85B" w14:textId="77777777" w:rsidR="00C72054" w:rsidRDefault="00C72054" w:rsidP="008A3591"/>
    <w:p w14:paraId="0F199E55" w14:textId="7930FB43" w:rsidR="00A83FB9" w:rsidRDefault="00A83FB9" w:rsidP="008A3591">
      <w:r>
        <w:t>VIRGINIA</w:t>
      </w:r>
    </w:p>
    <w:p w14:paraId="71BAF285" w14:textId="77777777" w:rsidR="00A83FB9" w:rsidRDefault="00A83FB9" w:rsidP="008A3591"/>
    <w:p w14:paraId="51E7C1CA" w14:textId="5AACE583" w:rsidR="00DE347B" w:rsidRPr="00AE415B" w:rsidRDefault="00DE347B" w:rsidP="00DE347B">
      <w:pPr>
        <w:rPr>
          <w:b/>
          <w:bCs/>
        </w:rPr>
      </w:pPr>
      <w:r w:rsidRPr="00AE415B">
        <w:rPr>
          <w:b/>
          <w:bCs/>
        </w:rPr>
        <w:t>Commonwealth v. Garrick</w:t>
      </w:r>
      <w:r w:rsidR="00200057">
        <w:rPr>
          <w:b/>
          <w:bCs/>
        </w:rPr>
        <w:t xml:space="preserve"> – DO NOT PUBLISH</w:t>
      </w:r>
    </w:p>
    <w:p w14:paraId="4A202D9C" w14:textId="438BFACD" w:rsidR="00DE347B" w:rsidRDefault="00DE347B" w:rsidP="00DE347B">
      <w:r>
        <w:t>Supreme Court of Virginia</w:t>
      </w:r>
    </w:p>
    <w:p w14:paraId="7D15AB67" w14:textId="6C215A7E" w:rsidR="00DE347B" w:rsidRDefault="00DE347B" w:rsidP="00DE347B">
      <w:r>
        <w:t>May 9, 2024</w:t>
      </w:r>
    </w:p>
    <w:p w14:paraId="435D99C9" w14:textId="77777777" w:rsidR="00DE347B" w:rsidRDefault="00DE347B" w:rsidP="00DE347B"/>
    <w:p w14:paraId="2AE4EB12" w14:textId="6EE505B4" w:rsidR="00DE347B" w:rsidRPr="00AE415B" w:rsidRDefault="00AE415B" w:rsidP="00DE347B">
      <w:pPr>
        <w:rPr>
          <w:i/>
          <w:iCs/>
        </w:rPr>
      </w:pPr>
      <w:r w:rsidRPr="00AE415B">
        <w:rPr>
          <w:i/>
          <w:iCs/>
        </w:rPr>
        <w:t>LEO LAW Topic: Facts established constructive possession of drugs and</w:t>
      </w:r>
      <w:r>
        <w:rPr>
          <w:i/>
          <w:iCs/>
        </w:rPr>
        <w:t xml:space="preserve"> a</w:t>
      </w:r>
      <w:r w:rsidRPr="00AE415B">
        <w:rPr>
          <w:i/>
          <w:iCs/>
        </w:rPr>
        <w:t xml:space="preserve"> firearm.</w:t>
      </w:r>
    </w:p>
    <w:p w14:paraId="2B1AD14E" w14:textId="77777777" w:rsidR="00DE347B" w:rsidRDefault="00DE347B" w:rsidP="00DE347B"/>
    <w:p w14:paraId="3EDC66EA" w14:textId="7FF2C1C9" w:rsidR="00DE347B" w:rsidRDefault="00DE347B" w:rsidP="00DE347B">
      <w:r>
        <w:t xml:space="preserve">Stephen Garrick was found asleep in a vehicle with the engine running. Upon waking him, officers noticed signs of intoxication and </w:t>
      </w:r>
      <w:r w:rsidR="00200057">
        <w:t>the odor</w:t>
      </w:r>
      <w:r>
        <w:t xml:space="preserve"> of marijuana. This led to a search of the vehicle, where they found a bag of heroin and a loaded handgun in the glove compartment. Garrick, the sole occupant of the vehicle, stated that his mother owned the car and he drove it three days a week. The glove compartment also contained two receipts for vehicle maintenance, both listing Garrick as the customer. Garrick was convicted of possession of heroin and possession of a firearm by a violent felon.</w:t>
      </w:r>
    </w:p>
    <w:p w14:paraId="28650716" w14:textId="77777777" w:rsidR="00DE347B" w:rsidRDefault="00DE347B" w:rsidP="00DE347B"/>
    <w:p w14:paraId="46CD95EF" w14:textId="77777777" w:rsidR="00DE347B" w:rsidRDefault="00DE347B" w:rsidP="00DE347B">
      <w:r>
        <w:t>Garrick appealed his convictions, arguing that the evidence was insufficient to prove possession. The Court of Appeals reversed the convictions, stating that Garrick's occupancy of the vehicle, his proximity to the items, and his admission of driving the vehicle were insufficient to establish constructive possession. The Court of Appeals also noted that the maintenance receipts only served as evidence that Garrick regularly used the car, not that he knew about the heroin and firearm.</w:t>
      </w:r>
    </w:p>
    <w:p w14:paraId="57FDBB7A" w14:textId="77777777" w:rsidR="00DE347B" w:rsidRDefault="00DE347B" w:rsidP="00DE347B"/>
    <w:p w14:paraId="36998512" w14:textId="3C0E265D" w:rsidR="008A3591" w:rsidRDefault="00DE347B" w:rsidP="00DE347B">
      <w:r>
        <w:lastRenderedPageBreak/>
        <w:t>The Commonwealth appealed to the Supreme Court of Virginia. The Supreme Court reversed the judgment of the Court of Appeals, stating that the evidence was sufficient to allow a reasonable factfinder to conclude that Garrick was aware of the presence of the heroin and firearm. The court noted that Garrick was the sole occupant of the vehicle, was in close proximity to the items, and had been in the vehicle for a significant period of time. The court also pointed out that the maintenance receipts indicated that Garrick was responsible for the vehicle's upkeep, suggesting that he used the glove compartment where the items were found. The court concluded that the combined circumstances were sufficient to support the conviction.</w:t>
      </w:r>
    </w:p>
    <w:sectPr w:rsidR="008A35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27BD9"/>
    <w:rsid w:val="00086290"/>
    <w:rsid w:val="000B1BAE"/>
    <w:rsid w:val="00200057"/>
    <w:rsid w:val="002B05EA"/>
    <w:rsid w:val="002B5B58"/>
    <w:rsid w:val="00336DF1"/>
    <w:rsid w:val="003F218D"/>
    <w:rsid w:val="0041713A"/>
    <w:rsid w:val="00425971"/>
    <w:rsid w:val="00603AEC"/>
    <w:rsid w:val="00627BD9"/>
    <w:rsid w:val="00646101"/>
    <w:rsid w:val="00651581"/>
    <w:rsid w:val="00774FB9"/>
    <w:rsid w:val="008465B4"/>
    <w:rsid w:val="00875193"/>
    <w:rsid w:val="008A1E47"/>
    <w:rsid w:val="008A3591"/>
    <w:rsid w:val="008B4DF9"/>
    <w:rsid w:val="009736FB"/>
    <w:rsid w:val="009C2553"/>
    <w:rsid w:val="00A3432D"/>
    <w:rsid w:val="00A83FB9"/>
    <w:rsid w:val="00AE415B"/>
    <w:rsid w:val="00BA1053"/>
    <w:rsid w:val="00BC7488"/>
    <w:rsid w:val="00BE79BE"/>
    <w:rsid w:val="00C03431"/>
    <w:rsid w:val="00C3470C"/>
    <w:rsid w:val="00C72054"/>
    <w:rsid w:val="00D26F20"/>
    <w:rsid w:val="00DE347B"/>
    <w:rsid w:val="00E340D6"/>
    <w:rsid w:val="00E71ABC"/>
    <w:rsid w:val="00E71EF6"/>
    <w:rsid w:val="00EC499C"/>
    <w:rsid w:val="00EE2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5D9F97"/>
  <w15:docId w15:val="{F250BE60-62EB-4182-A065-2542B52B4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1742</TotalTime>
  <Pages>8</Pages>
  <Words>3398</Words>
  <Characters>18214</Characters>
  <Application>Microsoft Office Word</Application>
  <DocSecurity>0</DocSecurity>
  <Lines>343</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5</cp:revision>
  <dcterms:created xsi:type="dcterms:W3CDTF">2024-05-11T12:56:00Z</dcterms:created>
  <dcterms:modified xsi:type="dcterms:W3CDTF">2024-05-13T15:55:00Z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9a5fb095-5a69-45db-bb2c-7e515b8304e3</vt:lpwstr>
  </property>
</Properties>
</file>