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0AF28E" w14:textId="02ED9E18" w:rsidR="00EC499C" w:rsidRDefault="008B50EF">
      <w:r>
        <w:t>BF 20 Cases 17MAY2024</w:t>
      </w:r>
    </w:p>
    <w:p w14:paraId="774E1C09" w14:textId="77777777" w:rsidR="008B50EF" w:rsidRDefault="008B50EF"/>
    <w:p w14:paraId="45178061" w14:textId="2D081844" w:rsidR="00A10FED" w:rsidRPr="00A10FED" w:rsidRDefault="00A10FED">
      <w:pPr>
        <w:rPr>
          <w:b/>
          <w:bCs/>
          <w:i/>
          <w:iCs/>
        </w:rPr>
      </w:pPr>
      <w:r w:rsidRPr="00A10FED">
        <w:rPr>
          <w:b/>
          <w:bCs/>
          <w:i/>
          <w:iCs/>
        </w:rPr>
        <w:t>SEARCH AND SEIZURE</w:t>
      </w:r>
    </w:p>
    <w:p w14:paraId="204609CF" w14:textId="77777777" w:rsidR="00A10FED" w:rsidRDefault="00A10FED"/>
    <w:p w14:paraId="14F81244" w14:textId="481C6B2C" w:rsidR="00A10FED" w:rsidRPr="00A10FED" w:rsidRDefault="00A10FED">
      <w:pPr>
        <w:rPr>
          <w:b/>
          <w:bCs/>
        </w:rPr>
      </w:pPr>
      <w:r w:rsidRPr="00A10FED">
        <w:rPr>
          <w:b/>
          <w:bCs/>
        </w:rPr>
        <w:t>FEDERAL CASES</w:t>
      </w:r>
    </w:p>
    <w:p w14:paraId="482CEB80" w14:textId="77777777" w:rsidR="008B50EF" w:rsidRDefault="008B50EF"/>
    <w:p w14:paraId="20D62835" w14:textId="76A43048" w:rsidR="00230579" w:rsidRPr="00C76C17" w:rsidRDefault="00230579" w:rsidP="00230579">
      <w:pPr>
        <w:rPr>
          <w:b/>
          <w:bCs/>
        </w:rPr>
      </w:pPr>
      <w:r w:rsidRPr="00C76C17">
        <w:rPr>
          <w:b/>
          <w:bCs/>
        </w:rPr>
        <w:t>U</w:t>
      </w:r>
      <w:r w:rsidR="00D52F1E" w:rsidRPr="00C76C17">
        <w:rPr>
          <w:b/>
          <w:bCs/>
        </w:rPr>
        <w:t>nited States</w:t>
      </w:r>
      <w:r w:rsidRPr="00C76C17">
        <w:rPr>
          <w:b/>
          <w:bCs/>
        </w:rPr>
        <w:t xml:space="preserve"> v. Darosa</w:t>
      </w:r>
    </w:p>
    <w:p w14:paraId="4184E760" w14:textId="4A28EBE8" w:rsidR="00230579" w:rsidRDefault="00230579" w:rsidP="00230579">
      <w:r>
        <w:t>US Court of Appeals for the Fourth Circuit</w:t>
      </w:r>
    </w:p>
    <w:p w14:paraId="22AD314F" w14:textId="43F92DF8" w:rsidR="00230579" w:rsidRDefault="00721D1C" w:rsidP="00230579">
      <w:r w:rsidRPr="00721D1C">
        <w:t>May 16, 2024</w:t>
      </w:r>
    </w:p>
    <w:p w14:paraId="69495899" w14:textId="77777777" w:rsidR="00230579" w:rsidRDefault="00230579" w:rsidP="00230579">
      <w:r>
        <w:t>Docket: 22-4726</w:t>
      </w:r>
    </w:p>
    <w:p w14:paraId="3DD8C890" w14:textId="77777777" w:rsidR="00230579" w:rsidRDefault="00230579" w:rsidP="00230579"/>
    <w:p w14:paraId="7C850CA2" w14:textId="4DA77FD2" w:rsidR="00230579" w:rsidRPr="00C76C17" w:rsidRDefault="00721D1C" w:rsidP="00230579">
      <w:pPr>
        <w:rPr>
          <w:i/>
          <w:iCs/>
        </w:rPr>
      </w:pPr>
      <w:r w:rsidRPr="00C76C17">
        <w:rPr>
          <w:i/>
          <w:iCs/>
        </w:rPr>
        <w:t>LEO LAW Topic</w:t>
      </w:r>
      <w:r w:rsidR="00D52F1E" w:rsidRPr="00C76C17">
        <w:rPr>
          <w:i/>
          <w:iCs/>
        </w:rPr>
        <w:t>s 1-6, 4-2:  Fingerprint and DNA evidence established probable cause to support the search warrant.</w:t>
      </w:r>
    </w:p>
    <w:p w14:paraId="5109EA3A" w14:textId="77777777" w:rsidR="00721D1C" w:rsidRDefault="00721D1C" w:rsidP="00230579"/>
    <w:p w14:paraId="17429DE3" w14:textId="2446A896" w:rsidR="00230579" w:rsidRDefault="00230579" w:rsidP="00230579">
      <w:r>
        <w:t xml:space="preserve">Valentino Darosa was convicted of a robbery at a store that buys and sells metals, coins, jewels, and currency notes. The robber, wearing a mask and gloves, handcuffed and duct-taped the store owner and stole several items. The robber also took </w:t>
      </w:r>
      <w:r w:rsidR="00721D1C">
        <w:t>the owner’s</w:t>
      </w:r>
      <w:r>
        <w:t xml:space="preserve"> backpack, which contained his wallet</w:t>
      </w:r>
      <w:r w:rsidR="00721D1C">
        <w:t xml:space="preserve"> and a handgun</w:t>
      </w:r>
      <w:r>
        <w:t xml:space="preserve">. </w:t>
      </w:r>
      <w:r w:rsidR="00721D1C">
        <w:t xml:space="preserve">Forensic analysis of a </w:t>
      </w:r>
      <w:r>
        <w:t xml:space="preserve">notebook and roll of duct tape left at the scene </w:t>
      </w:r>
      <w:r w:rsidR="00721D1C">
        <w:t>revealed</w:t>
      </w:r>
      <w:r>
        <w:t xml:space="preserve"> Darosa's fingerprint</w:t>
      </w:r>
      <w:r w:rsidR="00721D1C">
        <w:t>s</w:t>
      </w:r>
      <w:r>
        <w:t xml:space="preserve"> and DNA </w:t>
      </w:r>
      <w:r w:rsidR="00721D1C">
        <w:t>on the items</w:t>
      </w:r>
      <w:r>
        <w:t>.</w:t>
      </w:r>
    </w:p>
    <w:p w14:paraId="71AFCAD4" w14:textId="77777777" w:rsidR="00230579" w:rsidRDefault="00230579" w:rsidP="00230579"/>
    <w:p w14:paraId="00051E28" w14:textId="52FA604D" w:rsidR="00230579" w:rsidRDefault="00230579" w:rsidP="00230579">
      <w:r>
        <w:t>Darosa was indicted</w:t>
      </w:r>
      <w:r w:rsidR="00721D1C">
        <w:t xml:space="preserve"> for the offense</w:t>
      </w:r>
      <w:r>
        <w:t xml:space="preserve"> </w:t>
      </w:r>
      <w:r w:rsidR="00721D1C">
        <w:t xml:space="preserve">and </w:t>
      </w:r>
      <w:r>
        <w:t>moved to suppress the evidence seized during the search of his vehicle and home, arguing that the search warrant affidavit failed to establish probable cause. The district court denied the motion, finding that Darosa’s fingerprint on the notebook was sufficient to suspect him as the robber.</w:t>
      </w:r>
    </w:p>
    <w:p w14:paraId="5F6290D0" w14:textId="77777777" w:rsidR="00230579" w:rsidRDefault="00230579" w:rsidP="00230579"/>
    <w:p w14:paraId="635A62D0" w14:textId="77777777" w:rsidR="00230579" w:rsidRDefault="00230579" w:rsidP="00230579">
      <w:r>
        <w:t xml:space="preserve">At trial, the government presented evidence connecting Darosa to the crime, including his fingerprint on the notebook, his DNA on the </w:t>
      </w:r>
      <w:proofErr w:type="spellStart"/>
      <w:r>
        <w:t>roll</w:t>
      </w:r>
      <w:proofErr w:type="spellEnd"/>
      <w:r>
        <w:t xml:space="preserve"> of duct tape, and items found in Darosa’s home and vehicle that were stolen from the store. The jury returned a guilty verdict on all counts.</w:t>
      </w:r>
    </w:p>
    <w:p w14:paraId="1D8DB8CE" w14:textId="77777777" w:rsidR="00230579" w:rsidRDefault="00230579" w:rsidP="00230579"/>
    <w:p w14:paraId="226D055A" w14:textId="62A3E408" w:rsidR="00230579" w:rsidRDefault="00230579" w:rsidP="00230579">
      <w:r>
        <w:t>On appeal to the United States Court of Appeals for the Fourth Circuit, Darosa challenged the district court’s denial of his motion to suppress.</w:t>
      </w:r>
      <w:r w:rsidR="00D52F1E">
        <w:t xml:space="preserve"> Citing </w:t>
      </w:r>
      <w:r w:rsidR="00D52F1E" w:rsidRPr="00D52F1E">
        <w:rPr>
          <w:i/>
          <w:iCs/>
        </w:rPr>
        <w:t>Illinois v. Gates</w:t>
      </w:r>
      <w:r w:rsidR="00D52F1E">
        <w:t>, the court held that: “</w:t>
      </w:r>
      <w:r w:rsidR="00D52F1E" w:rsidRPr="00D52F1E">
        <w:rPr>
          <w:i/>
          <w:iCs/>
        </w:rPr>
        <w:t>T</w:t>
      </w:r>
      <w:r w:rsidR="00D52F1E" w:rsidRPr="00D52F1E">
        <w:rPr>
          <w:i/>
          <w:iCs/>
        </w:rPr>
        <w:t>he probable cause standard isn’t a high one, requiring only a fair probability that contraband or evidence of a crime will be found in a particular place</w:t>
      </w:r>
      <w:r w:rsidR="00D52F1E" w:rsidRPr="00D52F1E">
        <w:t>.</w:t>
      </w:r>
      <w:r w:rsidR="00D52F1E">
        <w:t xml:space="preserve">”  The court noted that </w:t>
      </w:r>
      <w:r w:rsidR="00D52F1E" w:rsidRPr="00D52F1E">
        <w:t>the search warrant explained that the victim’s store was robbed, the robber “left a notebook” at the scene, and a fingerprint on the notebook matched Darosa’s prints</w:t>
      </w:r>
      <w:r w:rsidR="00D52F1E">
        <w:t>. The court also noted that</w:t>
      </w:r>
      <w:r w:rsidR="00D52F1E" w:rsidRPr="00D52F1E">
        <w:t xml:space="preserve">, based on </w:t>
      </w:r>
      <w:r w:rsidR="00D52F1E">
        <w:t>the affiant</w:t>
      </w:r>
      <w:r w:rsidR="00D52F1E" w:rsidRPr="00D52F1E">
        <w:t xml:space="preserve">’s experience, the stolen items could be difficult to sell and thus may still be in the robber’s possession. Finally, the affidavit noted that stolen items are often kept in a person’s vehicle or home. </w:t>
      </w:r>
      <w:r w:rsidR="00D52F1E">
        <w:t xml:space="preserve">The court then held that </w:t>
      </w:r>
      <w:r w:rsidR="00D52F1E" w:rsidRPr="00D52F1E">
        <w:t xml:space="preserve">this </w:t>
      </w:r>
      <w:r w:rsidR="00D52F1E">
        <w:t xml:space="preserve">information in the affidavit </w:t>
      </w:r>
      <w:r w:rsidR="00D52F1E" w:rsidRPr="00D52F1E">
        <w:t>provided at least a “substantial basis” for finding probable cause.</w:t>
      </w:r>
      <w:r w:rsidR="00D52F1E">
        <w:t xml:space="preserve"> The Fourth Circuit affirmed the district court’s denial of the motion to suppress.</w:t>
      </w:r>
    </w:p>
    <w:p w14:paraId="18F4C4A5" w14:textId="77777777" w:rsidR="00230579" w:rsidRDefault="00230579" w:rsidP="00230579"/>
    <w:p w14:paraId="130106CA" w14:textId="77777777" w:rsidR="00230579" w:rsidRDefault="00230579" w:rsidP="00230579"/>
    <w:p w14:paraId="4A9A903D" w14:textId="77777777" w:rsidR="00230579" w:rsidRPr="00C76C17" w:rsidRDefault="00230579" w:rsidP="00230579">
      <w:pPr>
        <w:rPr>
          <w:b/>
          <w:bCs/>
        </w:rPr>
      </w:pPr>
      <w:r w:rsidRPr="00C76C17">
        <w:rPr>
          <w:b/>
          <w:bCs/>
        </w:rPr>
        <w:t>United States v. McMillion</w:t>
      </w:r>
    </w:p>
    <w:p w14:paraId="5768D0A7" w14:textId="231B3F93" w:rsidR="00230579" w:rsidRDefault="00230579" w:rsidP="00230579">
      <w:r>
        <w:t>US Court of Appeals for the Eighth Circuit</w:t>
      </w:r>
    </w:p>
    <w:p w14:paraId="6527BC87" w14:textId="1B8DC1F8" w:rsidR="00230579" w:rsidRDefault="00721D1C" w:rsidP="00230579">
      <w:r w:rsidRPr="00721D1C">
        <w:t>May 13, 2024</w:t>
      </w:r>
    </w:p>
    <w:p w14:paraId="18A98C1D" w14:textId="7053443C" w:rsidR="00230579" w:rsidRDefault="007F0AAA" w:rsidP="00230579">
      <w:r w:rsidRPr="007F0AAA">
        <w:t>Docket: 23-2720</w:t>
      </w:r>
    </w:p>
    <w:p w14:paraId="1816CC95" w14:textId="77777777" w:rsidR="007F0AAA" w:rsidRPr="00C76C17" w:rsidRDefault="007F0AAA" w:rsidP="00230579">
      <w:pPr>
        <w:rPr>
          <w:i/>
          <w:iCs/>
        </w:rPr>
      </w:pPr>
    </w:p>
    <w:p w14:paraId="2E3BC92A" w14:textId="5E56188F" w:rsidR="00721D1C" w:rsidRPr="00C76C17" w:rsidRDefault="00721D1C" w:rsidP="00230579">
      <w:pPr>
        <w:rPr>
          <w:i/>
          <w:iCs/>
        </w:rPr>
      </w:pPr>
      <w:r w:rsidRPr="00C76C17">
        <w:rPr>
          <w:i/>
          <w:iCs/>
        </w:rPr>
        <w:t>LEO LAW Topics</w:t>
      </w:r>
      <w:r w:rsidR="007F0AAA" w:rsidRPr="00C76C17">
        <w:rPr>
          <w:i/>
          <w:iCs/>
        </w:rPr>
        <w:t xml:space="preserve"> 1-7, 5-1, 6-7: Time, location, report, and observed behavior developed reasonable suspicion to support a Terry Stop and a Terry Frisk.</w:t>
      </w:r>
    </w:p>
    <w:p w14:paraId="58C24909" w14:textId="77777777" w:rsidR="00721D1C" w:rsidRDefault="00721D1C" w:rsidP="00230579"/>
    <w:p w14:paraId="3B70E790" w14:textId="474F5A37" w:rsidR="00230579" w:rsidRDefault="00230579" w:rsidP="00230579">
      <w:r>
        <w:t xml:space="preserve">Mykel Lee McMillion was charged with </w:t>
      </w:r>
      <w:r w:rsidR="00D52F1E">
        <w:t>being a felon in possession of a firearm in violation of 18 USC 922(g)</w:t>
      </w:r>
      <w:r>
        <w:t xml:space="preserve">. The charge </w:t>
      </w:r>
      <w:r w:rsidR="007F0AAA">
        <w:t xml:space="preserve">was based on a police response </w:t>
      </w:r>
      <w:r>
        <w:t>to a call from a security guard at an apartment complex</w:t>
      </w:r>
      <w:r w:rsidR="007F0AAA">
        <w:t xml:space="preserve"> reporting </w:t>
      </w:r>
      <w:r>
        <w:t>that a car was parked in a restricted area and one of the occupants had a gun. The officers arrived</w:t>
      </w:r>
      <w:r w:rsidR="007F0AAA">
        <w:t>,</w:t>
      </w:r>
      <w:r>
        <w:t xml:space="preserve"> stopped the car, </w:t>
      </w:r>
      <w:r w:rsidR="007F0AAA">
        <w:t>and noticed</w:t>
      </w:r>
      <w:r>
        <w:t xml:space="preserve"> a man in the backseat who matched the description given by the security guard. The man, identified as </w:t>
      </w:r>
      <w:r w:rsidR="007F0AAA">
        <w:t>the defendant</w:t>
      </w:r>
      <w:r>
        <w:t>, was removed from the car, handcuffed, and searched, leading to the discovery of a concealed handgun.</w:t>
      </w:r>
    </w:p>
    <w:p w14:paraId="75704D89" w14:textId="77777777" w:rsidR="00230579" w:rsidRDefault="00230579" w:rsidP="00230579"/>
    <w:p w14:paraId="705B72E2" w14:textId="77777777" w:rsidR="00230579" w:rsidRDefault="00230579" w:rsidP="00230579">
      <w:r>
        <w:t>The district court granted McMillion's motion to suppress the evidence of the firearm, reasoning that the officers did not have reasonable suspicion to stop the car. The court argued that the time and location of the incident, as well as the report of a man swinging a gun, were irrelevant to the reasonable suspicion analysis, as open carry is legal in Iowa.</w:t>
      </w:r>
    </w:p>
    <w:p w14:paraId="7F533A83" w14:textId="77777777" w:rsidR="00230579" w:rsidRDefault="00230579" w:rsidP="00230579"/>
    <w:p w14:paraId="15F80163" w14:textId="4E858D21" w:rsidR="00230579" w:rsidRDefault="00230579" w:rsidP="00230579">
      <w:r>
        <w:t>The United States Court of Appeals for the Eighth Circuit</w:t>
      </w:r>
      <w:r w:rsidR="007F0AAA">
        <w:t xml:space="preserve"> disagreed and </w:t>
      </w:r>
      <w:r>
        <w:t xml:space="preserve">reversed the district court's decision. The appellate court held that the officers had reasonable suspicion to stop the car and conduct a pat-down search for weapons. The court considered the totality of the circumstances, including the high-crime area, the time of night, the report of a man with a gun, and the behavior of the car's occupants when they became aware of the officers' presence. The court concluded that these factors, taken together, provided sufficient grounds for reasonable suspicion, and thus, the district court erred in granting the motion to suppress. </w:t>
      </w:r>
    </w:p>
    <w:p w14:paraId="094C7896" w14:textId="77777777" w:rsidR="007F0AAA" w:rsidRDefault="007F0AAA" w:rsidP="00230579"/>
    <w:p w14:paraId="7054BECF" w14:textId="55BAC42B" w:rsidR="00C53F30" w:rsidRDefault="00C53F30" w:rsidP="00230579"/>
    <w:p w14:paraId="081A3AFF" w14:textId="23DF98B8" w:rsidR="00C53F30" w:rsidRPr="00A10FED" w:rsidRDefault="00C53F30">
      <w:pPr>
        <w:rPr>
          <w:b/>
          <w:bCs/>
        </w:rPr>
      </w:pPr>
      <w:r w:rsidRPr="00A10FED">
        <w:rPr>
          <w:b/>
          <w:bCs/>
        </w:rPr>
        <w:t>STATE CASES</w:t>
      </w:r>
    </w:p>
    <w:p w14:paraId="1915BF44" w14:textId="77777777" w:rsidR="00C53F30" w:rsidRDefault="00C53F30"/>
    <w:p w14:paraId="678D6F82" w14:textId="77777777" w:rsidR="0015131A" w:rsidRPr="0015131A" w:rsidRDefault="0015131A" w:rsidP="0015131A">
      <w:r w:rsidRPr="0015131A">
        <w:rPr>
          <w:b/>
          <w:bCs/>
        </w:rPr>
        <w:t>Arkansas v. Bailey</w:t>
      </w:r>
      <w:r w:rsidRPr="0015131A">
        <w:br/>
        <w:t>Arkansas Supreme Court</w:t>
      </w:r>
      <w:r w:rsidRPr="0015131A">
        <w:br/>
        <w:t>May 16, 2024</w:t>
      </w:r>
    </w:p>
    <w:p w14:paraId="1BBD7A6F" w14:textId="77777777" w:rsidR="0015131A" w:rsidRDefault="0015131A" w:rsidP="0015131A">
      <w:pPr>
        <w:rPr>
          <w:i/>
          <w:iCs/>
        </w:rPr>
      </w:pPr>
    </w:p>
    <w:p w14:paraId="37FBAFA2" w14:textId="23FC28FF" w:rsidR="0015131A" w:rsidRPr="0015131A" w:rsidRDefault="0015131A" w:rsidP="0015131A">
      <w:r w:rsidRPr="0015131A">
        <w:rPr>
          <w:i/>
          <w:iCs/>
        </w:rPr>
        <w:t>LEO LAW Topics 5-30: Officers can lawfully conduct a warrantless search of a probationer's residence with a reasonable suspicion that the place to be searched is actually the probationer's residence.</w:t>
      </w:r>
    </w:p>
    <w:p w14:paraId="7FFD7881" w14:textId="77777777" w:rsidR="0015131A" w:rsidRDefault="0015131A" w:rsidP="0015131A"/>
    <w:p w14:paraId="4D8DB8C9" w14:textId="4F0EA5DA" w:rsidR="0015131A" w:rsidRPr="0015131A" w:rsidRDefault="0015131A" w:rsidP="0015131A">
      <w:r w:rsidRPr="0015131A">
        <w:t>Raymond Bailey signed a waiver allowing law enforcement to conduct warrantless searches of his person, residence, and vehicle as a condition of his probation. In June 2020, North Little Rock Police observed Bailey engaging in suspicious activities indicative of illegal drug transactions. They discovered that Bailey was on probation and had signed a search waiver. They detained Bailey and searched his motel room, where they found heroin and drug paraphernalia. Bailey was charged with drug possession. Bailey moved to suppress the evidence, arguing that the police did not have probable cause to believe that the motel room was his residence.</w:t>
      </w:r>
    </w:p>
    <w:p w14:paraId="7F61781C" w14:textId="77777777" w:rsidR="0015131A" w:rsidRDefault="0015131A" w:rsidP="0015131A"/>
    <w:p w14:paraId="50F6D62E" w14:textId="7C9BC856" w:rsidR="0015131A" w:rsidRPr="0015131A" w:rsidRDefault="0015131A" w:rsidP="0015131A">
      <w:r w:rsidRPr="0015131A">
        <w:t>The Pulaski County Circuit Court granted Bailey's motion to suppress, ruling that law enforcement must have probable cause to believe that the place to be searched is the probationer's residence. The court found that the police did not have probable cause to believe that the motel room was Bailey's residence, and therefore, the warrantless search violated the Fourth Amendment. The State of Arkansas appealed this decision.</w:t>
      </w:r>
    </w:p>
    <w:p w14:paraId="68C58568" w14:textId="77777777" w:rsidR="0015131A" w:rsidRDefault="0015131A" w:rsidP="0015131A"/>
    <w:p w14:paraId="2883706A" w14:textId="3A04E4AD" w:rsidR="0015131A" w:rsidRPr="0015131A" w:rsidRDefault="0015131A" w:rsidP="0015131A">
      <w:r w:rsidRPr="0015131A">
        <w:t xml:space="preserve">The Supreme Court of Arkansas disagreed with the lower court's ruling. Citing the U.S. Supreme Court decisions in </w:t>
      </w:r>
      <w:r w:rsidRPr="0015131A">
        <w:rPr>
          <w:i/>
          <w:iCs/>
        </w:rPr>
        <w:t>United States v. Knights</w:t>
      </w:r>
      <w:r w:rsidRPr="0015131A">
        <w:t xml:space="preserve"> and </w:t>
      </w:r>
      <w:r w:rsidRPr="0015131A">
        <w:rPr>
          <w:i/>
          <w:iCs/>
        </w:rPr>
        <w:t>Samson v. California</w:t>
      </w:r>
      <w:r w:rsidRPr="0015131A">
        <w:t xml:space="preserve">, the Arkansas Supreme Court held that the correct legal standard requires law enforcement to have a reasonable suspicion to believe the place to </w:t>
      </w:r>
      <w:r w:rsidRPr="0015131A">
        <w:lastRenderedPageBreak/>
        <w:t>be searched is the probationer's residence when conducting a search under that probation provision. The court found that the police reasonably suspected that Bailey was residing in the motel room, making the search permissible under the state statute and consistent with the Fourth Amendment. Therefore, the Supreme Court reversed the decision to suppress the evidence and remanded the case to the circuit court.</w:t>
      </w:r>
    </w:p>
    <w:p w14:paraId="4BFD6A6A" w14:textId="77777777" w:rsidR="0015131A" w:rsidRDefault="0015131A" w:rsidP="00C53F30"/>
    <w:p w14:paraId="0FA9CE23" w14:textId="77777777" w:rsidR="0015131A" w:rsidRDefault="0015131A" w:rsidP="00C53F30"/>
    <w:p w14:paraId="31A1D7CB" w14:textId="77777777" w:rsidR="00BC043C" w:rsidRPr="00BC043C" w:rsidRDefault="00BC043C" w:rsidP="00BC043C">
      <w:r w:rsidRPr="00BC043C">
        <w:rPr>
          <w:b/>
          <w:bCs/>
        </w:rPr>
        <w:t>Commonwealth v. Dunn</w:t>
      </w:r>
      <w:r w:rsidRPr="00BC043C">
        <w:br/>
        <w:t>Massachusetts Supreme Judicial Court</w:t>
      </w:r>
      <w:r w:rsidRPr="00BC043C">
        <w:br/>
        <w:t>May 9, 2024</w:t>
      </w:r>
    </w:p>
    <w:p w14:paraId="2D7CA3E6" w14:textId="77777777" w:rsidR="00BC043C" w:rsidRDefault="00BC043C" w:rsidP="00BC043C">
      <w:pPr>
        <w:rPr>
          <w:i/>
          <w:iCs/>
        </w:rPr>
      </w:pPr>
    </w:p>
    <w:p w14:paraId="28E05559" w14:textId="67FB446B" w:rsidR="00BC043C" w:rsidRPr="00BC043C" w:rsidRDefault="00BC043C" w:rsidP="00BC043C">
      <w:r w:rsidRPr="00BC043C">
        <w:rPr>
          <w:i/>
          <w:iCs/>
        </w:rPr>
        <w:t>LEO LAW Topic 1-6, 4-2: The judge was not required to view the images described in the search warrant application to determine probable cause to issue a search warrant based on those images.</w:t>
      </w:r>
    </w:p>
    <w:p w14:paraId="581E0C87" w14:textId="77777777" w:rsidR="00BC043C" w:rsidRDefault="00BC043C" w:rsidP="00BC043C"/>
    <w:p w14:paraId="4136FF90" w14:textId="24DAB298" w:rsidR="00BC043C" w:rsidRPr="00BC043C" w:rsidRDefault="00BC043C" w:rsidP="00BC043C">
      <w:r w:rsidRPr="00BC043C">
        <w:t>Warren Dunn was charged with possession of child pornography. The charges were based on evidence found in his apartment during a search conducted under a warrant. The warrant was issued based on an affidavit by a state trooper, who had received a report from the National Center for Missing and Exploited Children (NCMEC) about two images flagged as potential child pornography by Microsoft using hashtag algorithms. The trooper described the images in his affidavit, including age and activity, but did not attach them.</w:t>
      </w:r>
    </w:p>
    <w:p w14:paraId="3402A43A" w14:textId="77777777" w:rsidR="00BC043C" w:rsidRDefault="00BC043C" w:rsidP="00BC043C"/>
    <w:p w14:paraId="75F7150B" w14:textId="13D380D8" w:rsidR="00BC043C" w:rsidRPr="00BC043C" w:rsidRDefault="00BC043C" w:rsidP="00BC043C">
      <w:r w:rsidRPr="00BC043C">
        <w:t>In the Superior Court, the defendant filed motions to suppress the evidence and for a hearing on the affidavit supporting the search warrant, arguing that the trooper's "conclusory" descriptions of the two images did not establish probable cause to search the defendant's home and electronic devices. He further argued that the magistrate did not personally view the two images and, therefore, could not find probable cause. The court denied both motions. The defendant then pleaded guilty to all charges, preserving his right to appeal the denials of his motions.</w:t>
      </w:r>
    </w:p>
    <w:p w14:paraId="4A43BB34" w14:textId="77777777" w:rsidR="00BC043C" w:rsidRDefault="00BC043C" w:rsidP="00BC043C"/>
    <w:p w14:paraId="22EF501E" w14:textId="64632307" w:rsidR="00BC043C" w:rsidRPr="00BC043C" w:rsidRDefault="00BC043C" w:rsidP="00BC043C">
      <w:r w:rsidRPr="00BC043C">
        <w:t>The Supreme Judicial Court of Massachusetts affirmed the lower court's decisions. The court held that, although attaching the photographs or providing a more detailed description would have been preferable, the affidavit as a whole was sufficient to establish probable cause for the search warrant. The court also held that the motion judge did not abuse her discretion in concluding that the defendant failed to demonstrate that the trooper's descriptions of the images were false. The court declined to create a new rule requiring magistrates to personally view allegedly lewd images before issuing search warrants.</w:t>
      </w:r>
    </w:p>
    <w:p w14:paraId="5571019F" w14:textId="77777777" w:rsidR="00230579" w:rsidRDefault="00230579" w:rsidP="00C53F30"/>
    <w:p w14:paraId="2F55DCAF" w14:textId="77777777" w:rsidR="00230579" w:rsidRDefault="00230579" w:rsidP="00C53F30"/>
    <w:p w14:paraId="3BEBCC3B" w14:textId="77777777" w:rsidR="00211C16" w:rsidRPr="00257351" w:rsidRDefault="00211C16" w:rsidP="00211C16">
      <w:pPr>
        <w:rPr>
          <w:b/>
          <w:bCs/>
        </w:rPr>
      </w:pPr>
      <w:r w:rsidRPr="00257351">
        <w:rPr>
          <w:b/>
          <w:bCs/>
        </w:rPr>
        <w:t>State of Minnesota vs. Carbo</w:t>
      </w:r>
    </w:p>
    <w:p w14:paraId="7FC44AAF" w14:textId="5AB18C39" w:rsidR="00211C16" w:rsidRDefault="00211C16" w:rsidP="00211C16">
      <w:r>
        <w:t>Minnesota Supreme Court</w:t>
      </w:r>
    </w:p>
    <w:p w14:paraId="54449692" w14:textId="5323E5FC" w:rsidR="00211C16" w:rsidRDefault="00257351" w:rsidP="00211C16">
      <w:r>
        <w:t>Ma</w:t>
      </w:r>
      <w:r w:rsidR="00211C16">
        <w:t>y 8, 2024</w:t>
      </w:r>
    </w:p>
    <w:p w14:paraId="66514131" w14:textId="77777777" w:rsidR="00211C16" w:rsidRDefault="00211C16" w:rsidP="00211C16"/>
    <w:p w14:paraId="25BCE681" w14:textId="73E718A8" w:rsidR="00211C16" w:rsidRPr="00257351" w:rsidRDefault="00257351" w:rsidP="00211C16">
      <w:pPr>
        <w:rPr>
          <w:i/>
          <w:iCs/>
        </w:rPr>
      </w:pPr>
      <w:r w:rsidRPr="00257351">
        <w:rPr>
          <w:i/>
          <w:iCs/>
        </w:rPr>
        <w:t xml:space="preserve">LEO LAW Topic </w:t>
      </w:r>
      <w:r w:rsidR="00B71511">
        <w:rPr>
          <w:i/>
          <w:iCs/>
        </w:rPr>
        <w:t>2-2: The defendant did not demonstrate a subjective reasonable expectation of privacy in the DNA evidence left at the crime scene</w:t>
      </w:r>
      <w:r w:rsidR="0030161B">
        <w:rPr>
          <w:i/>
          <w:iCs/>
        </w:rPr>
        <w:t>,</w:t>
      </w:r>
      <w:r w:rsidR="00B71511">
        <w:rPr>
          <w:i/>
          <w:iCs/>
        </w:rPr>
        <w:t xml:space="preserve"> and therefore</w:t>
      </w:r>
      <w:r w:rsidR="0030161B">
        <w:rPr>
          <w:i/>
          <w:iCs/>
        </w:rPr>
        <w:t>,</w:t>
      </w:r>
      <w:r w:rsidR="00B71511">
        <w:rPr>
          <w:i/>
          <w:iCs/>
        </w:rPr>
        <w:t xml:space="preserve"> collection and testing of the evidence was not a search under the Fourth Amendment.</w:t>
      </w:r>
    </w:p>
    <w:p w14:paraId="5AE3A759" w14:textId="77777777" w:rsidR="00211C16" w:rsidRDefault="00211C16" w:rsidP="00211C16"/>
    <w:p w14:paraId="54734154" w14:textId="2C482CAC" w:rsidR="00211C16" w:rsidRDefault="00211C16" w:rsidP="00211C16">
      <w:r>
        <w:t xml:space="preserve">Michael Allan Carbo Jr. was charged with </w:t>
      </w:r>
      <w:r w:rsidR="00257351">
        <w:t xml:space="preserve">the murder of </w:t>
      </w:r>
      <w:r w:rsidR="00257351" w:rsidRPr="00257351">
        <w:t>Nancy Daugherty</w:t>
      </w:r>
      <w:r w:rsidR="00257351">
        <w:t xml:space="preserve">. </w:t>
      </w:r>
      <w:r>
        <w:t xml:space="preserve">The prosecution's case was based on DNA evidence collected from the crime scene and Carbo's garbage, which matched Carbo's DNA. Carbo sought to suppress this evidence, arguing that the collection and analysis of his DNA violated </w:t>
      </w:r>
      <w:r>
        <w:lastRenderedPageBreak/>
        <w:t>his Fourth Amendment rights</w:t>
      </w:r>
      <w:r w:rsidR="00B71511">
        <w:t xml:space="preserve"> because of the “</w:t>
      </w:r>
      <w:r w:rsidR="00B71511" w:rsidRPr="00B71511">
        <w:t>vast troves of genetic information</w:t>
      </w:r>
      <w:r w:rsidR="00B71511">
        <w:t>”</w:t>
      </w:r>
      <w:r w:rsidR="00B71511" w:rsidRPr="00B71511">
        <w:t xml:space="preserve"> his semen contained.</w:t>
      </w:r>
      <w:r w:rsidR="00B71511">
        <w:t xml:space="preserve"> </w:t>
      </w:r>
      <w:r>
        <w:t xml:space="preserve">The district court denied Carbo's motion to suppress the DNA evidence, ruling that Carbo had abandoned his expectation of privacy by leaving his semen at the crime scene and his garbage in a communal bin. </w:t>
      </w:r>
    </w:p>
    <w:p w14:paraId="649E057C" w14:textId="77777777" w:rsidR="00211C16" w:rsidRDefault="00211C16" w:rsidP="00211C16"/>
    <w:p w14:paraId="59DB0F69" w14:textId="4B6FC99E" w:rsidR="00C53F30" w:rsidRDefault="00211C16" w:rsidP="00211C16">
      <w:r>
        <w:t>The Minnesota Supreme Court affirmed the lower court's decision regarding the DNA evidence.</w:t>
      </w:r>
      <w:r w:rsidR="00B71511" w:rsidRPr="00B71511">
        <w:t xml:space="preserve"> </w:t>
      </w:r>
      <w:r w:rsidR="00B71511">
        <w:t>The court noted that b</w:t>
      </w:r>
      <w:r w:rsidR="00B71511" w:rsidRPr="00B71511">
        <w:t xml:space="preserve">y Carbo’s own account, he got so drunk that he blacked out, had unprotected sex with Daugherty in her yard, then cleaned up in her bathroom and left. </w:t>
      </w:r>
      <w:r w:rsidR="00B71511">
        <w:t>The court held that t</w:t>
      </w:r>
      <w:r w:rsidR="00B71511" w:rsidRPr="00B71511">
        <w:t>hese actions do not lead to an inference that Carbo intended to keep his genetic information</w:t>
      </w:r>
      <w:r w:rsidR="0030161B">
        <w:t xml:space="preserve"> (</w:t>
      </w:r>
      <w:r w:rsidR="00B71511" w:rsidRPr="00B71511">
        <w:t>which he knew his semen contained</w:t>
      </w:r>
      <w:r w:rsidR="0030161B">
        <w:t xml:space="preserve">) </w:t>
      </w:r>
      <w:r w:rsidR="00B71511" w:rsidRPr="00B71511">
        <w:t>private.</w:t>
      </w:r>
      <w:r>
        <w:t xml:space="preserve"> It held that Carbo had indeed abandoned his subjective expectation of privacy in the genetic information gathered from the crime scene and his garbage. </w:t>
      </w:r>
    </w:p>
    <w:p w14:paraId="3366B117" w14:textId="77777777" w:rsidR="00211C16" w:rsidRDefault="00211C16" w:rsidP="00211C16"/>
    <w:p w14:paraId="1265B514" w14:textId="77777777" w:rsidR="00211C16" w:rsidRDefault="00211C16" w:rsidP="00211C16"/>
    <w:p w14:paraId="14C32CC7" w14:textId="77777777" w:rsidR="00211C16" w:rsidRPr="00C76C17" w:rsidRDefault="00211C16" w:rsidP="00211C16">
      <w:pPr>
        <w:rPr>
          <w:b/>
          <w:bCs/>
        </w:rPr>
      </w:pPr>
      <w:r w:rsidRPr="00C76C17">
        <w:rPr>
          <w:b/>
          <w:bCs/>
        </w:rPr>
        <w:t>State of Minnesota vs. Westrom</w:t>
      </w:r>
    </w:p>
    <w:p w14:paraId="017BDB19" w14:textId="4F04773D" w:rsidR="00211C16" w:rsidRDefault="00211C16" w:rsidP="00211C16">
      <w:r>
        <w:t>Minnesota Supreme Court</w:t>
      </w:r>
    </w:p>
    <w:p w14:paraId="2A392674" w14:textId="795F5000" w:rsidR="00211C16" w:rsidRDefault="00211C16" w:rsidP="00211C16">
      <w:r>
        <w:t>May 8, 2024</w:t>
      </w:r>
    </w:p>
    <w:p w14:paraId="6D850A94" w14:textId="77777777" w:rsidR="00211C16" w:rsidRDefault="00211C16" w:rsidP="00211C16"/>
    <w:p w14:paraId="01DBC6DF" w14:textId="402E7715" w:rsidR="00211C16" w:rsidRDefault="00987105" w:rsidP="00211C16">
      <w:r>
        <w:t>LEO LAW Topic</w:t>
      </w:r>
      <w:r w:rsidR="00C76C17">
        <w:t xml:space="preserve"> 2-2: Not reasonable to expect privacy in DNA left at a crime scene </w:t>
      </w:r>
      <w:r>
        <w:t xml:space="preserve"> </w:t>
      </w:r>
    </w:p>
    <w:p w14:paraId="67690059" w14:textId="77777777" w:rsidR="00211C16" w:rsidRDefault="00211C16" w:rsidP="00211C16"/>
    <w:p w14:paraId="423F3E09" w14:textId="00341F18" w:rsidR="00211C16" w:rsidRDefault="00211C16" w:rsidP="00211C16">
      <w:r>
        <w:t>Jerry Arnold Westrom</w:t>
      </w:r>
      <w:r w:rsidR="00C76C17">
        <w:t xml:space="preserve"> </w:t>
      </w:r>
      <w:r>
        <w:t>was convicted of first-degree premeditated murder and second-degree intentional murder</w:t>
      </w:r>
      <w:r w:rsidR="00C76C17">
        <w:t xml:space="preserve"> of </w:t>
      </w:r>
      <w:r>
        <w:t xml:space="preserve">Jeanie Childs, </w:t>
      </w:r>
      <w:r w:rsidR="00C76C17">
        <w:t xml:space="preserve">who </w:t>
      </w:r>
      <w:r>
        <w:t xml:space="preserve">was found stabbed to death in her apartment. The case went cold until </w:t>
      </w:r>
      <w:r w:rsidR="00C76C17">
        <w:t>five years later</w:t>
      </w:r>
      <w:r>
        <w:t xml:space="preserve"> when police began working with the FBI to review Childs’ murder. They sent a DNA sample from the crime scene to DNA Solutions, Inc. to create a single nucleotide polymorphism (SNP) profile that could be compared with profiles on commercial genealogical databases to identify the source’s relatives. A potential match was located on </w:t>
      </w:r>
      <w:r w:rsidR="00C76C17">
        <w:t>the “</w:t>
      </w:r>
      <w:proofErr w:type="spellStart"/>
      <w:r>
        <w:t>MyHeritage</w:t>
      </w:r>
      <w:proofErr w:type="spellEnd"/>
      <w:r w:rsidR="00C76C17">
        <w:t>” database</w:t>
      </w:r>
      <w:r>
        <w:t xml:space="preserve"> that </w:t>
      </w:r>
      <w:r w:rsidR="00C76C17">
        <w:t>identified the sample</w:t>
      </w:r>
      <w:r>
        <w:t xml:space="preserve"> to be a first cousin to the source of the crime scene DNA. Law enforcement then used the match to construct a family tree that identified Westrom as the likely source.</w:t>
      </w:r>
    </w:p>
    <w:p w14:paraId="0F3BB8BD" w14:textId="77777777" w:rsidR="00211C16" w:rsidRDefault="00211C16" w:rsidP="00211C16"/>
    <w:p w14:paraId="012AD97F" w14:textId="6A9995A3" w:rsidR="00211C16" w:rsidRDefault="00211C16" w:rsidP="00211C16">
      <w:r>
        <w:t>The district court denied Westrom’s motion to suppress all evidence stemming from the police’s comparison of the SNP profile created from DNA gathered from the crime scene with other profiles on commercial genealogical databases. The district court concluded that no search had occurred because Westrom held no expectation of privacy in the information contained within his DNA when police only used his DNA for the purpose of identification.</w:t>
      </w:r>
    </w:p>
    <w:p w14:paraId="63E67E67" w14:textId="77777777" w:rsidR="00211C16" w:rsidRDefault="00211C16" w:rsidP="00211C16"/>
    <w:p w14:paraId="0CFECF93" w14:textId="30DEDC9A" w:rsidR="00335501" w:rsidRDefault="00335501" w:rsidP="00211C16">
      <w:r w:rsidRPr="00335501">
        <w:t xml:space="preserve">The Minnesota Supreme Court affirmed Westrom’s conviction, </w:t>
      </w:r>
      <w:r>
        <w:t xml:space="preserve">finding the </w:t>
      </w:r>
      <w:r w:rsidRPr="00335501">
        <w:t>district court did not err in concluding that the genetic analysis of a napkin discarded by appellant was not a search because the analysis was only capable of matching appellant’s DNA to the DNA found at the crime scene and appellant had no reasonable expectation of privacy in his identifying information.</w:t>
      </w:r>
    </w:p>
    <w:p w14:paraId="13438F1D" w14:textId="77777777" w:rsidR="00211C16" w:rsidRDefault="00211C16" w:rsidP="00211C16"/>
    <w:p w14:paraId="2B3755A8" w14:textId="77777777" w:rsidR="00211C16" w:rsidRDefault="00211C16" w:rsidP="00211C16"/>
    <w:p w14:paraId="3546C1C5" w14:textId="77777777" w:rsidR="00987105" w:rsidRDefault="00987105">
      <w:r>
        <w:br w:type="page"/>
      </w:r>
    </w:p>
    <w:p w14:paraId="7C9697CB" w14:textId="053A5A7A" w:rsidR="00A10FED" w:rsidRPr="00A10FED" w:rsidRDefault="00A10FED" w:rsidP="00A10FED">
      <w:pPr>
        <w:rPr>
          <w:b/>
          <w:bCs/>
        </w:rPr>
      </w:pPr>
      <w:r w:rsidRPr="00A10FED">
        <w:rPr>
          <w:b/>
          <w:bCs/>
        </w:rPr>
        <w:lastRenderedPageBreak/>
        <w:t>USE OF FORCE</w:t>
      </w:r>
    </w:p>
    <w:p w14:paraId="163FD6A1" w14:textId="77777777" w:rsidR="00A10FED" w:rsidRDefault="00A10FED" w:rsidP="00A10FED"/>
    <w:p w14:paraId="3832CCB0" w14:textId="384A5230" w:rsidR="00A10FED" w:rsidRPr="00E1206A" w:rsidRDefault="00A10FED" w:rsidP="00A10FED">
      <w:pPr>
        <w:rPr>
          <w:b/>
          <w:bCs/>
        </w:rPr>
      </w:pPr>
      <w:r w:rsidRPr="00E1206A">
        <w:rPr>
          <w:b/>
          <w:bCs/>
        </w:rPr>
        <w:t>Flores v. Henderson</w:t>
      </w:r>
    </w:p>
    <w:p w14:paraId="0FE3490B" w14:textId="77777777" w:rsidR="00A10FED" w:rsidRDefault="00A10FED" w:rsidP="00A10FED">
      <w:r>
        <w:t>US Court of Appeals for the Tenth Circuit</w:t>
      </w:r>
    </w:p>
    <w:p w14:paraId="1D75DAF4" w14:textId="77777777" w:rsidR="00A10FED" w:rsidRDefault="00A10FED" w:rsidP="00A10FED">
      <w:r>
        <w:t>May 14, 2024</w:t>
      </w:r>
    </w:p>
    <w:p w14:paraId="4D5D7FB5" w14:textId="77777777" w:rsidR="00A10FED" w:rsidRDefault="00A10FED" w:rsidP="00A10FED">
      <w:r>
        <w:t>Docket: 23-1049</w:t>
      </w:r>
    </w:p>
    <w:p w14:paraId="16F91E05" w14:textId="77777777" w:rsidR="00A10FED" w:rsidRDefault="00A10FED" w:rsidP="00A10FED"/>
    <w:p w14:paraId="6E01626E" w14:textId="0DE179BA" w:rsidR="00A10FED" w:rsidRPr="00DB3537" w:rsidRDefault="00A10FED" w:rsidP="00A10FED">
      <w:pPr>
        <w:rPr>
          <w:i/>
          <w:iCs/>
        </w:rPr>
      </w:pPr>
      <w:r w:rsidRPr="00DB3537">
        <w:rPr>
          <w:i/>
          <w:iCs/>
        </w:rPr>
        <w:t xml:space="preserve">LEO LAW Topics </w:t>
      </w:r>
      <w:r w:rsidR="00E1206A" w:rsidRPr="00DB3537">
        <w:rPr>
          <w:i/>
          <w:iCs/>
        </w:rPr>
        <w:t xml:space="preserve">8-3, 8-5: </w:t>
      </w:r>
      <w:r w:rsidR="00DB3537" w:rsidRPr="00DB3537">
        <w:rPr>
          <w:i/>
          <w:iCs/>
        </w:rPr>
        <w:t>The use of deadly force against an individual welding a machete was not clearly established such as to preclude qualified immunity.</w:t>
      </w:r>
    </w:p>
    <w:p w14:paraId="462A1424" w14:textId="77777777" w:rsidR="00A10FED" w:rsidRDefault="00A10FED" w:rsidP="00A10FED"/>
    <w:p w14:paraId="57537E6C" w14:textId="0E095F66" w:rsidR="00A10FED" w:rsidRDefault="00E1206A" w:rsidP="00DB3537">
      <w:proofErr w:type="spellStart"/>
      <w:r w:rsidRPr="00E1206A">
        <w:t>Shamikle</w:t>
      </w:r>
      <w:proofErr w:type="spellEnd"/>
      <w:r w:rsidRPr="00E1206A">
        <w:t xml:space="preserve"> </w:t>
      </w:r>
      <w:r w:rsidR="00A10FED">
        <w:t xml:space="preserve">Jackson </w:t>
      </w:r>
      <w:r w:rsidR="00DB3537">
        <w:t>placed a 911</w:t>
      </w:r>
      <w:r w:rsidR="00DB3537">
        <w:t xml:space="preserve"> and </w:t>
      </w:r>
      <w:r w:rsidR="00DB3537">
        <w:t>told the dispatcher he was holding people hostage and that two of the</w:t>
      </w:r>
      <w:r w:rsidR="00DB3537">
        <w:t xml:space="preserve"> </w:t>
      </w:r>
      <w:r w:rsidR="00DB3537">
        <w:t>hostages were already dead.</w:t>
      </w:r>
      <w:r w:rsidR="00A10FED">
        <w:t xml:space="preserve"> </w:t>
      </w:r>
      <w:r w:rsidR="00DB3537">
        <w:t>Aurora p</w:t>
      </w:r>
      <w:r>
        <w:t xml:space="preserve">olice </w:t>
      </w:r>
      <w:r w:rsidR="00DB3537">
        <w:t xml:space="preserve">officers </w:t>
      </w:r>
      <w:r>
        <w:t>responded, and w</w:t>
      </w:r>
      <w:r w:rsidR="00A10FED">
        <w:t>hen the</w:t>
      </w:r>
      <w:r w:rsidR="00CF5414">
        <w:t>y</w:t>
      </w:r>
      <w:r w:rsidR="00A10FED">
        <w:t xml:space="preserve"> arrived, they encountered Jackson's sister who informed them that Jackson was alone, unarmed, and might have mental health problems. </w:t>
      </w:r>
      <w:r>
        <w:t>T</w:t>
      </w:r>
      <w:r w:rsidR="00A10FED">
        <w:t>he officers proceeded to search the apartment</w:t>
      </w:r>
      <w:r>
        <w:t xml:space="preserve">. </w:t>
      </w:r>
      <w:r w:rsidR="00A10FED">
        <w:t xml:space="preserve">Jackson emerged from a bedroom with a machete and was shot and killed by </w:t>
      </w:r>
      <w:r w:rsidR="00CF5414">
        <w:t xml:space="preserve">one of </w:t>
      </w:r>
      <w:r w:rsidR="00A10FED">
        <w:t>the officers.</w:t>
      </w:r>
      <w:r w:rsidRPr="00E1206A">
        <w:t xml:space="preserve"> </w:t>
      </w:r>
      <w:r w:rsidRPr="00E1206A">
        <w:t>The parents of Jackson brought a 42 USC 1983 civil suit against four police officers for using unconstitutionally excessive force and failure to intervene.</w:t>
      </w:r>
      <w:r w:rsidR="00814891">
        <w:t xml:space="preserve"> The officers sought qualified immunity for the use of force, which shifted the burden to the plaintiff to prove that it was clearly established that the officer’s use of force in this case was unreasonable under the Fourth Amendment. </w:t>
      </w:r>
    </w:p>
    <w:p w14:paraId="3925CACE" w14:textId="77777777" w:rsidR="00A10FED" w:rsidRDefault="00A10FED" w:rsidP="00A10FED"/>
    <w:p w14:paraId="79E204F1" w14:textId="77777777" w:rsidR="00A10FED" w:rsidRDefault="00A10FED" w:rsidP="00A10FED">
      <w:r>
        <w:t>The United States District Court for the District of Colorado denied the officers' motion for summary judgment based on qualified immunity. The court concluded that a reasonable jury could find that the officers recklessly created the need to use deadly force, thereby unreasonably violating Jackson's constitutional rights under clearly established law.</w:t>
      </w:r>
    </w:p>
    <w:p w14:paraId="6EE49605" w14:textId="77777777" w:rsidR="00A10FED" w:rsidRDefault="00A10FED" w:rsidP="00A10FED"/>
    <w:p w14:paraId="733244C1" w14:textId="525C436A" w:rsidR="00A10FED" w:rsidRDefault="00A10FED" w:rsidP="00A10FED">
      <w:r>
        <w:t>The United States Court of Appeals for the Tenth Circuit reversed the lower court's decision. The appellate court found that the officers had a split second to respond to a deadly threat posed by Jackson. Under these circumstances, it was not clearly established that the officers recklessly created a situation where the use of deadly force was necessary. Therefore, the officers were entitled to qualified immunity. The court also rejected the claim that the other officers failed to intervene to prevent the violation of Jackson's rights, as there was no underlying constitutional violation.</w:t>
      </w:r>
    </w:p>
    <w:p w14:paraId="04EC23A2" w14:textId="77777777" w:rsidR="00461E28" w:rsidRDefault="00461E28" w:rsidP="00A10FED"/>
    <w:p w14:paraId="59A9A5A5" w14:textId="5A8F212A" w:rsidR="00FC60BF" w:rsidRPr="00FC60BF" w:rsidRDefault="00706977" w:rsidP="00706977">
      <w:pPr>
        <w:rPr>
          <w:i/>
          <w:iCs/>
        </w:rPr>
      </w:pPr>
      <w:r w:rsidRPr="00FC60BF">
        <w:rPr>
          <w:i/>
          <w:iCs/>
        </w:rPr>
        <w:t xml:space="preserve">Note: Under Tenth Circuit precedence, </w:t>
      </w:r>
      <w:r w:rsidR="00FC60BF" w:rsidRPr="00FC60BF">
        <w:rPr>
          <w:i/>
          <w:iCs/>
        </w:rPr>
        <w:t>the court</w:t>
      </w:r>
      <w:r w:rsidRPr="00FC60BF">
        <w:rPr>
          <w:i/>
          <w:iCs/>
        </w:rPr>
        <w:t xml:space="preserve"> must also consider whether an</w:t>
      </w:r>
      <w:r w:rsidRPr="00FC60BF">
        <w:rPr>
          <w:i/>
          <w:iCs/>
        </w:rPr>
        <w:t xml:space="preserve"> </w:t>
      </w:r>
      <w:r w:rsidRPr="00FC60BF">
        <w:rPr>
          <w:i/>
          <w:iCs/>
        </w:rPr>
        <w:t>officer’s reckless or deliberate conduct during the seizure unreasonably created the need</w:t>
      </w:r>
      <w:r w:rsidR="00FC60BF" w:rsidRPr="00FC60BF">
        <w:rPr>
          <w:i/>
          <w:iCs/>
        </w:rPr>
        <w:t xml:space="preserve"> </w:t>
      </w:r>
      <w:r w:rsidRPr="00FC60BF">
        <w:rPr>
          <w:i/>
          <w:iCs/>
        </w:rPr>
        <w:t>to use such force.</w:t>
      </w:r>
      <w:r w:rsidR="00FC60BF" w:rsidRPr="00FC60BF">
        <w:rPr>
          <w:i/>
          <w:iCs/>
        </w:rPr>
        <w:t xml:space="preserve"> The Supreme Court has not ruled on this issue</w:t>
      </w:r>
      <w:r w:rsidR="00FC60BF">
        <w:rPr>
          <w:i/>
          <w:iCs/>
        </w:rPr>
        <w:t>,</w:t>
      </w:r>
      <w:r w:rsidR="00FC60BF" w:rsidRPr="00FC60BF">
        <w:rPr>
          <w:i/>
          <w:iCs/>
        </w:rPr>
        <w:t xml:space="preserve"> and the circuits are split. The First, Seventh, and Tenth have adopted this rule (See, e.g., </w:t>
      </w:r>
      <w:r w:rsidR="00FC60BF" w:rsidRPr="00FC60BF">
        <w:rPr>
          <w:i/>
          <w:iCs/>
        </w:rPr>
        <w:t xml:space="preserve">Est. of Biegert by Biegert v. </w:t>
      </w:r>
      <w:proofErr w:type="gramStart"/>
      <w:r w:rsidR="00FC60BF" w:rsidRPr="00FC60BF">
        <w:rPr>
          <w:i/>
          <w:iCs/>
        </w:rPr>
        <w:t>Molitor ,</w:t>
      </w:r>
      <w:proofErr w:type="gramEnd"/>
      <w:r w:rsidR="00FC60BF" w:rsidRPr="00FC60BF">
        <w:rPr>
          <w:i/>
          <w:iCs/>
        </w:rPr>
        <w:t xml:space="preserve"> 968 F.3d 693, 698 (7th Cir. 2020)</w:t>
      </w:r>
      <w:r w:rsidR="00FC60BF" w:rsidRPr="00FC60BF">
        <w:rPr>
          <w:i/>
          <w:iCs/>
        </w:rPr>
        <w:t xml:space="preserve">; </w:t>
      </w:r>
      <w:r w:rsidR="00FC60BF" w:rsidRPr="00FC60BF">
        <w:rPr>
          <w:i/>
          <w:iCs/>
        </w:rPr>
        <w:t>Young v. City of Providence ex rel. Napolitano , 404 F.3d 4, 22 (1st Cir. 2005)</w:t>
      </w:r>
      <w:r w:rsidR="00FC60BF" w:rsidRPr="00FC60BF">
        <w:rPr>
          <w:i/>
          <w:iCs/>
        </w:rPr>
        <w:t xml:space="preserve">; and </w:t>
      </w:r>
      <w:r w:rsidR="00FC60BF" w:rsidRPr="00FC60BF">
        <w:rPr>
          <w:i/>
          <w:iCs/>
        </w:rPr>
        <w:t>Cox v. Wilson , 971 F.3d 1159, 1170 (10th Cir. 2020)</w:t>
      </w:r>
      <w:r w:rsidR="00FC60BF" w:rsidRPr="00FC60BF">
        <w:rPr>
          <w:i/>
          <w:iCs/>
        </w:rPr>
        <w:t xml:space="preserve">. </w:t>
      </w:r>
      <w:r w:rsidR="00FC60BF" w:rsidRPr="00FC60BF">
        <w:rPr>
          <w:i/>
          <w:iCs/>
        </w:rPr>
        <w:t>Other circuits examine only the facts that existed at the moment of seizure to determine if the officer's use of force was reasonable.</w:t>
      </w:r>
      <w:r w:rsidR="00FC60BF" w:rsidRPr="00FC60BF">
        <w:rPr>
          <w:i/>
          <w:iCs/>
        </w:rPr>
        <w:t xml:space="preserve"> (</w:t>
      </w:r>
      <w:r w:rsidR="00FC60BF" w:rsidRPr="00FC60BF">
        <w:rPr>
          <w:i/>
          <w:iCs/>
        </w:rPr>
        <w:t xml:space="preserve">See, e.g., Salim v. </w:t>
      </w:r>
      <w:proofErr w:type="gramStart"/>
      <w:r w:rsidR="00FC60BF" w:rsidRPr="00FC60BF">
        <w:rPr>
          <w:i/>
          <w:iCs/>
        </w:rPr>
        <w:t>Proulx ,</w:t>
      </w:r>
      <w:proofErr w:type="gramEnd"/>
      <w:r w:rsidR="00FC60BF" w:rsidRPr="00FC60BF">
        <w:rPr>
          <w:i/>
          <w:iCs/>
        </w:rPr>
        <w:t xml:space="preserve"> 93 F.3d 86, 92 (2d Cir. 1996)</w:t>
      </w:r>
      <w:r w:rsidR="00FC60BF" w:rsidRPr="00FC60BF">
        <w:rPr>
          <w:i/>
          <w:iCs/>
        </w:rPr>
        <w:t xml:space="preserve"> and </w:t>
      </w:r>
      <w:r w:rsidR="00FC60BF" w:rsidRPr="00FC60BF">
        <w:rPr>
          <w:i/>
          <w:iCs/>
        </w:rPr>
        <w:t>Elliott v. Leavitt, 99 F.3d 640, 642 (4th Cir. 1996)</w:t>
      </w:r>
      <w:r w:rsidR="00FC60BF" w:rsidRPr="00FC60BF">
        <w:rPr>
          <w:i/>
          <w:iCs/>
        </w:rPr>
        <w:t>).</w:t>
      </w:r>
      <w:r w:rsidR="00FC60BF">
        <w:rPr>
          <w:i/>
          <w:iCs/>
        </w:rPr>
        <w:t xml:space="preserve"> </w:t>
      </w:r>
    </w:p>
    <w:p w14:paraId="52F003BA" w14:textId="77777777" w:rsidR="00461E28" w:rsidRDefault="00461E28" w:rsidP="00A10FED"/>
    <w:p w14:paraId="17276075" w14:textId="77777777" w:rsidR="00461E28" w:rsidRDefault="00461E28">
      <w:pPr>
        <w:rPr>
          <w:b/>
          <w:bCs/>
          <w:color w:val="FF0000"/>
          <w:sz w:val="36"/>
          <w:szCs w:val="36"/>
        </w:rPr>
      </w:pPr>
      <w:r>
        <w:rPr>
          <w:b/>
          <w:bCs/>
          <w:color w:val="FF0000"/>
          <w:sz w:val="36"/>
          <w:szCs w:val="36"/>
        </w:rPr>
        <w:br w:type="page"/>
      </w:r>
    </w:p>
    <w:p w14:paraId="7077073E" w14:textId="4D6E2FAA" w:rsidR="00461E28" w:rsidRPr="00987105" w:rsidRDefault="00461E28" w:rsidP="00461E28">
      <w:pPr>
        <w:rPr>
          <w:b/>
          <w:bCs/>
          <w:color w:val="FF0000"/>
          <w:sz w:val="36"/>
          <w:szCs w:val="36"/>
        </w:rPr>
      </w:pPr>
      <w:r w:rsidRPr="00987105">
        <w:rPr>
          <w:b/>
          <w:bCs/>
          <w:color w:val="FF0000"/>
          <w:sz w:val="36"/>
          <w:szCs w:val="36"/>
        </w:rPr>
        <w:lastRenderedPageBreak/>
        <w:t>NOT FOR PUBLICATION</w:t>
      </w:r>
    </w:p>
    <w:p w14:paraId="215DB85B" w14:textId="77777777" w:rsidR="00461E28" w:rsidRDefault="00461E28" w:rsidP="00461E28"/>
    <w:p w14:paraId="23764504" w14:textId="77777777" w:rsidR="00461E28" w:rsidRPr="00987105" w:rsidRDefault="00461E28" w:rsidP="00461E28">
      <w:pPr>
        <w:rPr>
          <w:b/>
          <w:bCs/>
        </w:rPr>
      </w:pPr>
      <w:r w:rsidRPr="00987105">
        <w:rPr>
          <w:b/>
          <w:bCs/>
        </w:rPr>
        <w:t>Lange v. Houston County, Georgia</w:t>
      </w:r>
    </w:p>
    <w:p w14:paraId="0B4268A6" w14:textId="77777777" w:rsidR="00461E28" w:rsidRDefault="00461E28" w:rsidP="00461E28">
      <w:r>
        <w:t>US Court of Appeals for the Eleventh Circuit</w:t>
      </w:r>
    </w:p>
    <w:p w14:paraId="0DB552A4" w14:textId="77777777" w:rsidR="00461E28" w:rsidRDefault="00461E28" w:rsidP="00461E28">
      <w:r>
        <w:t>Docket: 22-13626</w:t>
      </w:r>
    </w:p>
    <w:p w14:paraId="0030291C" w14:textId="77777777" w:rsidR="00461E28" w:rsidRDefault="00461E28" w:rsidP="00461E28">
      <w:r>
        <w:t>Opinion Date: May 13, 2024</w:t>
      </w:r>
    </w:p>
    <w:p w14:paraId="52A5CE3E" w14:textId="77777777" w:rsidR="00461E28" w:rsidRDefault="00461E28" w:rsidP="00461E28"/>
    <w:p w14:paraId="3DE60DC5" w14:textId="77777777" w:rsidR="00461E28" w:rsidRDefault="00461E28" w:rsidP="00461E28">
      <w:r>
        <w:t>Topic: Medical expenses must be paid for sex-change operation of sheriff department employee under medical plan.</w:t>
      </w:r>
    </w:p>
    <w:p w14:paraId="3DAB2059" w14:textId="77777777" w:rsidR="00461E28" w:rsidRDefault="00461E28" w:rsidP="00461E28"/>
    <w:p w14:paraId="6904D1BE" w14:textId="77777777" w:rsidR="00461E28" w:rsidRDefault="00461E28" w:rsidP="00461E28">
      <w:r>
        <w:t>The case revolves around Anna Lange, a transgender woman employed by the Houston County Sheriff's Office in Georgia. Lange was diagnosed with gender dysphoria in 2017 and her healthcare providers recommended a treatment plan that included hormone therapy and gender-affirming surgery. In 2018, her healthcare providers determined that a vaginoplasty was medically necessary. However, Lange's request for coverage was denied based on the health insurance plan's exclusion of services and supplies for sex change and/or the reversal of a sex change. Lange filed claims against Houston County with the Equal Employment Opportunity Commission and subsequently sued Houston County and the Sheriff of Houston County in the Middle District of Georgia.</w:t>
      </w:r>
    </w:p>
    <w:p w14:paraId="78EF56F0" w14:textId="77777777" w:rsidR="00461E28" w:rsidRDefault="00461E28" w:rsidP="00461E28"/>
    <w:p w14:paraId="10E72B21" w14:textId="77777777" w:rsidR="00461E28" w:rsidRDefault="00461E28" w:rsidP="00461E28">
      <w:r>
        <w:t>The district court granted summary judgment to Lange on the Title VII claim, finding the Exclusion facially discriminatory as a matter of law. The Title VII claim then proceeded to trial, and a jury awarded Lange $60,000 in damages. After trial, the district court entered an order declaring that the Exclusion violated Title VII and permanently enjoined the Sheriff and Houston County from any further enforcement or application of the Exclusion.</w:t>
      </w:r>
    </w:p>
    <w:p w14:paraId="0F6E40DF" w14:textId="77777777" w:rsidR="00461E28" w:rsidRDefault="00461E28" w:rsidP="00461E28"/>
    <w:p w14:paraId="1309D22E" w14:textId="4DD91222" w:rsidR="00461E28" w:rsidRDefault="00461E28" w:rsidP="00A10FED">
      <w:r>
        <w:t>The United States Court of Appeals for the Eleventh Circuit affirmed the district court's decision. The court held that a health insurance provider can be held liable under Title VII of the Civil Rights Act of 1964 for denying coverage for gender-affirming care to a transgender employee because the employee is transgender. The court also held that Houston County is liable under Title VII as an agent of the Sheriff's Office. The court affirmed the district court's order permanently enjoining Houston County and the Sheriff from further enforcement or application of the Exclusion.</w:t>
      </w:r>
    </w:p>
    <w:sectPr w:rsidR="00461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1MLawMDQ1tbQ0MTRR0lEKTi0uzszPAykwrAUAl6yciSwAAAA="/>
  </w:docVars>
  <w:rsids>
    <w:rsidRoot w:val="008B50EF"/>
    <w:rsid w:val="0015131A"/>
    <w:rsid w:val="00190DD2"/>
    <w:rsid w:val="00211C16"/>
    <w:rsid w:val="00230579"/>
    <w:rsid w:val="00257351"/>
    <w:rsid w:val="00282F20"/>
    <w:rsid w:val="0030161B"/>
    <w:rsid w:val="00335501"/>
    <w:rsid w:val="00461E28"/>
    <w:rsid w:val="004A5D66"/>
    <w:rsid w:val="00706977"/>
    <w:rsid w:val="00721D1C"/>
    <w:rsid w:val="00780131"/>
    <w:rsid w:val="007F0AAA"/>
    <w:rsid w:val="00814891"/>
    <w:rsid w:val="008B50EF"/>
    <w:rsid w:val="009736FB"/>
    <w:rsid w:val="00987105"/>
    <w:rsid w:val="00A10FED"/>
    <w:rsid w:val="00A4376D"/>
    <w:rsid w:val="00B71511"/>
    <w:rsid w:val="00BC043C"/>
    <w:rsid w:val="00C53F30"/>
    <w:rsid w:val="00C76C17"/>
    <w:rsid w:val="00CA3066"/>
    <w:rsid w:val="00CF5414"/>
    <w:rsid w:val="00D52F1E"/>
    <w:rsid w:val="00DB3537"/>
    <w:rsid w:val="00E1206A"/>
    <w:rsid w:val="00E90FDB"/>
    <w:rsid w:val="00EC499C"/>
    <w:rsid w:val="00FC6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72BBC"/>
  <w15:chartTrackingRefBased/>
  <w15:docId w15:val="{8D313D2F-D1CA-46C2-A9E7-58125B250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9426136">
      <w:bodyDiv w:val="1"/>
      <w:marLeft w:val="0"/>
      <w:marRight w:val="0"/>
      <w:marTop w:val="0"/>
      <w:marBottom w:val="0"/>
      <w:divBdr>
        <w:top w:val="none" w:sz="0" w:space="0" w:color="auto"/>
        <w:left w:val="none" w:sz="0" w:space="0" w:color="auto"/>
        <w:bottom w:val="none" w:sz="0" w:space="0" w:color="auto"/>
        <w:right w:val="none" w:sz="0" w:space="0" w:color="auto"/>
      </w:divBdr>
    </w:div>
    <w:div w:id="2030519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6</Pages>
  <Words>2624</Words>
  <Characters>13646</Characters>
  <Application>Microsoft Office Word</Application>
  <DocSecurity>0</DocSecurity>
  <Lines>258</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9</cp:revision>
  <dcterms:created xsi:type="dcterms:W3CDTF">2024-05-19T09:17:00Z</dcterms:created>
  <dcterms:modified xsi:type="dcterms:W3CDTF">2024-05-19T16:29:00Z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418173a1-dad5-4184-a7f3-b2bee6d534fd</vt:lpwstr>
  </property>
</Properties>
</file>