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8FEF6" w14:textId="356A7452" w:rsidR="00EC499C" w:rsidRPr="00C67FD7" w:rsidRDefault="00D60586">
      <w:pPr>
        <w:rPr>
          <w:rFonts w:cstheme="minorHAnsi"/>
          <w:b/>
          <w:bCs/>
        </w:rPr>
      </w:pPr>
      <w:r w:rsidRPr="00C67FD7">
        <w:rPr>
          <w:rFonts w:cstheme="minorHAnsi"/>
          <w:b/>
          <w:bCs/>
        </w:rPr>
        <w:t>Cases 24MAY2024</w:t>
      </w:r>
    </w:p>
    <w:p w14:paraId="3FAC7FF3" w14:textId="77777777" w:rsidR="00D60586" w:rsidRPr="00C67FD7" w:rsidRDefault="00D60586">
      <w:pPr>
        <w:rPr>
          <w:rFonts w:cstheme="minorHAnsi"/>
        </w:rPr>
      </w:pPr>
    </w:p>
    <w:p w14:paraId="447FCB72" w14:textId="77777777" w:rsidR="000B7053" w:rsidRPr="00C67FD7" w:rsidRDefault="000B7053">
      <w:pPr>
        <w:rPr>
          <w:rFonts w:cstheme="minorHAnsi"/>
        </w:rPr>
      </w:pPr>
    </w:p>
    <w:p w14:paraId="7DFBD5E4" w14:textId="73909497" w:rsidR="000B7053" w:rsidRPr="00C67FD7" w:rsidRDefault="006D7AFA">
      <w:pPr>
        <w:rPr>
          <w:rFonts w:cstheme="minorHAnsi"/>
          <w:b/>
          <w:bCs/>
        </w:rPr>
      </w:pPr>
      <w:r w:rsidRPr="00C67FD7">
        <w:rPr>
          <w:rFonts w:cstheme="minorHAnsi"/>
          <w:b/>
          <w:bCs/>
        </w:rPr>
        <w:t>SEARCH AND SEIZURE</w:t>
      </w:r>
    </w:p>
    <w:p w14:paraId="27EDD3EB" w14:textId="77777777" w:rsidR="006D7AFA" w:rsidRPr="00C67FD7" w:rsidRDefault="006D7AFA" w:rsidP="000B7053">
      <w:pPr>
        <w:rPr>
          <w:rFonts w:cstheme="minorHAnsi"/>
        </w:rPr>
      </w:pPr>
    </w:p>
    <w:p w14:paraId="288C4FFE" w14:textId="4CB0EEA8" w:rsidR="006D7AFA" w:rsidRPr="00C67FD7" w:rsidRDefault="006D7AFA" w:rsidP="000B7053">
      <w:pPr>
        <w:rPr>
          <w:rFonts w:cstheme="minorHAnsi"/>
        </w:rPr>
      </w:pPr>
      <w:r w:rsidRPr="00C67FD7">
        <w:rPr>
          <w:rFonts w:cstheme="minorHAnsi"/>
        </w:rPr>
        <w:t>THIRD CIRCUIT</w:t>
      </w:r>
    </w:p>
    <w:p w14:paraId="67B3B8B7" w14:textId="77777777" w:rsidR="00C67FD7" w:rsidRPr="00C67FD7" w:rsidRDefault="00C67FD7" w:rsidP="00C67FD7">
      <w:pPr>
        <w:pStyle w:val="NormalWeb"/>
        <w:rPr>
          <w:rFonts w:asciiTheme="minorHAnsi" w:hAnsiTheme="minorHAnsi" w:cstheme="minorHAnsi"/>
          <w:sz w:val="22"/>
          <w:szCs w:val="22"/>
        </w:rPr>
      </w:pPr>
      <w:r w:rsidRPr="00C67FD7">
        <w:rPr>
          <w:rStyle w:val="Strong"/>
          <w:rFonts w:asciiTheme="minorHAnsi" w:hAnsiTheme="minorHAnsi" w:cstheme="minorHAnsi"/>
          <w:sz w:val="22"/>
          <w:szCs w:val="22"/>
        </w:rPr>
        <w:t>United States v. Goerig</w:t>
      </w:r>
      <w:r w:rsidRPr="00C67FD7">
        <w:rPr>
          <w:rFonts w:asciiTheme="minorHAnsi" w:hAnsiTheme="minorHAnsi" w:cstheme="minorHAnsi"/>
          <w:sz w:val="22"/>
          <w:szCs w:val="22"/>
        </w:rPr>
        <w:br/>
        <w:t>US Court of Appeals for the Third Circuit</w:t>
      </w:r>
      <w:r w:rsidRPr="00C67FD7">
        <w:rPr>
          <w:rFonts w:asciiTheme="minorHAnsi" w:hAnsiTheme="minorHAnsi" w:cstheme="minorHAnsi"/>
          <w:sz w:val="22"/>
          <w:szCs w:val="22"/>
        </w:rPr>
        <w:br/>
        <w:t>May 21, 2024</w:t>
      </w:r>
      <w:r w:rsidRPr="00C67FD7">
        <w:rPr>
          <w:rFonts w:asciiTheme="minorHAnsi" w:hAnsiTheme="minorHAnsi" w:cstheme="minorHAnsi"/>
          <w:sz w:val="22"/>
          <w:szCs w:val="22"/>
        </w:rPr>
        <w:br/>
        <w:t>Docket: 23-1582</w:t>
      </w:r>
    </w:p>
    <w:p w14:paraId="74C22596" w14:textId="77777777" w:rsidR="00C67FD7" w:rsidRPr="00C67FD7" w:rsidRDefault="00C67FD7" w:rsidP="00C67FD7">
      <w:pPr>
        <w:pStyle w:val="NormalWeb"/>
        <w:rPr>
          <w:rFonts w:asciiTheme="minorHAnsi" w:hAnsiTheme="minorHAnsi" w:cstheme="minorHAnsi"/>
          <w:sz w:val="22"/>
          <w:szCs w:val="22"/>
        </w:rPr>
      </w:pPr>
      <w:r w:rsidRPr="00C67FD7">
        <w:rPr>
          <w:rStyle w:val="Emphasis"/>
          <w:rFonts w:asciiTheme="minorHAnsi" w:hAnsiTheme="minorHAnsi" w:cstheme="minorHAnsi"/>
          <w:sz w:val="22"/>
          <w:szCs w:val="22"/>
        </w:rPr>
        <w:t>LEO LAW Topics 1-7, 3-3, 5-4, 6-1: Facts developed during a consensual encounter led to an investigative detention, which led to a protective sweep of a vehicle, which led to the arrest of the defendant and the discovery of child pornography pursuant to the execution of a search warrant.</w:t>
      </w:r>
    </w:p>
    <w:p w14:paraId="5728D4EA" w14:textId="77777777" w:rsidR="00C67FD7" w:rsidRPr="00C67FD7" w:rsidRDefault="00C67FD7" w:rsidP="00C67FD7">
      <w:pPr>
        <w:pStyle w:val="NormalWeb"/>
        <w:rPr>
          <w:rFonts w:asciiTheme="minorHAnsi" w:hAnsiTheme="minorHAnsi" w:cstheme="minorHAnsi"/>
          <w:sz w:val="22"/>
          <w:szCs w:val="22"/>
        </w:rPr>
      </w:pPr>
      <w:r w:rsidRPr="00C67FD7">
        <w:rPr>
          <w:rFonts w:asciiTheme="minorHAnsi" w:hAnsiTheme="minorHAnsi" w:cstheme="minorHAnsi"/>
          <w:sz w:val="22"/>
          <w:szCs w:val="22"/>
        </w:rPr>
        <w:t>Police in Ridley Township, Pennsylvania, received a 911 call from someone who stated they had seen a man in a black pickup truck with Connecticut plates parked in the high school parking lot. According to the caller, the man appeared roughly thirty years old, looked out of place, and seemed very nervous. Corporal Leo Doyle, who specializes in investigating crimes against children, responded to the call. When Corporal Doyle arrived, he pulled up next to the truck and approached the suspect, Jonathan Goerig. Corporal Doyle questioned Goerig and requested (but did not demand) identification. As Goerig reached for his license, Corporal Doyle noticed that Goerig had his shorts partially pulled down and made other observations, including Goerigs nervousness and responses to questions. At that point, Corporal Doyle ordered Goerig out of the truck. The investigative detention revealed that Goerig was planning to meet a 15-year-old girl at the school and that he was under investigation for sexting the minor. Corporal Doyle conducted a protective sweep of the truck for weapons, at which point he saw a recently used “penis pump” in the truck.</w:t>
      </w:r>
    </w:p>
    <w:p w14:paraId="547D04BA" w14:textId="77777777" w:rsidR="00C67FD7" w:rsidRPr="00C67FD7" w:rsidRDefault="00C67FD7" w:rsidP="00C67FD7">
      <w:pPr>
        <w:pStyle w:val="NormalWeb"/>
        <w:rPr>
          <w:rFonts w:asciiTheme="minorHAnsi" w:hAnsiTheme="minorHAnsi" w:cstheme="minorHAnsi"/>
          <w:sz w:val="22"/>
          <w:szCs w:val="22"/>
        </w:rPr>
      </w:pPr>
      <w:r w:rsidRPr="00C67FD7">
        <w:rPr>
          <w:rFonts w:asciiTheme="minorHAnsi" w:hAnsiTheme="minorHAnsi" w:cstheme="minorHAnsi"/>
          <w:sz w:val="22"/>
          <w:szCs w:val="22"/>
        </w:rPr>
        <w:t>Goerig was arrested, and warrants were obtained for his cellphone and iCloud account. The searches revealed images of Goerig engaged in sexual activity with the 15-year-old girl, and he was prosecuted for child pornography and interstate travel to engage in sex with a minor.</w:t>
      </w:r>
    </w:p>
    <w:p w14:paraId="5B2B26BD" w14:textId="77777777" w:rsidR="00C67FD7" w:rsidRPr="00C67FD7" w:rsidRDefault="00C67FD7" w:rsidP="00C67FD7">
      <w:pPr>
        <w:pStyle w:val="NormalWeb"/>
        <w:rPr>
          <w:rFonts w:asciiTheme="minorHAnsi" w:hAnsiTheme="minorHAnsi" w:cstheme="minorHAnsi"/>
          <w:sz w:val="22"/>
          <w:szCs w:val="22"/>
        </w:rPr>
      </w:pPr>
      <w:r w:rsidRPr="00C67FD7">
        <w:rPr>
          <w:rFonts w:asciiTheme="minorHAnsi" w:hAnsiTheme="minorHAnsi" w:cstheme="minorHAnsi"/>
          <w:sz w:val="22"/>
          <w:szCs w:val="22"/>
        </w:rPr>
        <w:t>Goerig sought to exclude the evidence, including the evidence found in his truck, his statements to the arresting officers, and all evidence recovered from his phone and iCloud account. The District Court held that Corporal Doyle had not seized Goerig until he told him to get out of the truck, and by then, he had reasonable suspicion. It also ruled that Doyle lawfully seized all the evidence in plain view inside the truck.</w:t>
      </w:r>
    </w:p>
    <w:p w14:paraId="217A1254" w14:textId="77777777" w:rsidR="00C67FD7" w:rsidRPr="00C67FD7" w:rsidRDefault="00C67FD7" w:rsidP="00C67FD7">
      <w:pPr>
        <w:pStyle w:val="NormalWeb"/>
        <w:rPr>
          <w:rFonts w:asciiTheme="minorHAnsi" w:hAnsiTheme="minorHAnsi" w:cstheme="minorHAnsi"/>
          <w:sz w:val="22"/>
          <w:szCs w:val="22"/>
        </w:rPr>
      </w:pPr>
      <w:r w:rsidRPr="00C67FD7">
        <w:rPr>
          <w:rFonts w:asciiTheme="minorHAnsi" w:hAnsiTheme="minorHAnsi" w:cstheme="minorHAnsi"/>
          <w:sz w:val="22"/>
          <w:szCs w:val="22"/>
        </w:rPr>
        <w:t>The United States Court of Appeals for the Third Circuit affirmed the District Court's judgment. The court held that although police need a reason to physically restrain someone or induce his submission, they do not need a reason to ask him questions or ask for ID. By the time Corporal Doyle asserted his authority, Goerig’s demeanor, his location in a school parking lot, and his answers to questions provided reasonable suspicion. And once Doyle learned about the sexting investigation and saw the penis pump in plain view, he had probable cause to arrest Goerig and get search warrants. Because the Terry stop, arrest, and searches and seizures were proper, the Third Circuit affirmed the District Court’s judgment.</w:t>
      </w:r>
    </w:p>
    <w:p w14:paraId="00E2CF87" w14:textId="63A70C05" w:rsidR="00C67FD7" w:rsidRPr="00C67FD7" w:rsidRDefault="00C67FD7" w:rsidP="000B7053">
      <w:pPr>
        <w:rPr>
          <w:rFonts w:cstheme="minorHAnsi"/>
        </w:rPr>
      </w:pPr>
      <w:r>
        <w:rPr>
          <w:rFonts w:cstheme="minorHAnsi"/>
        </w:rPr>
        <w:lastRenderedPageBreak/>
        <w:t>FIFTH CIRCUIT</w:t>
      </w:r>
    </w:p>
    <w:p w14:paraId="70A8CD99" w14:textId="77777777" w:rsidR="00C67FD7" w:rsidRDefault="00C67FD7" w:rsidP="000B7053">
      <w:pPr>
        <w:rPr>
          <w:rFonts w:cstheme="minorHAnsi"/>
        </w:rPr>
      </w:pPr>
    </w:p>
    <w:p w14:paraId="04E0CA5F" w14:textId="77777777" w:rsidR="000B7053" w:rsidRPr="00C67FD7" w:rsidRDefault="000B7053" w:rsidP="000B7053">
      <w:pPr>
        <w:rPr>
          <w:rFonts w:cstheme="minorHAnsi"/>
          <w:b/>
          <w:bCs/>
        </w:rPr>
      </w:pPr>
      <w:r w:rsidRPr="00C67FD7">
        <w:rPr>
          <w:rFonts w:cstheme="minorHAnsi"/>
          <w:b/>
          <w:bCs/>
        </w:rPr>
        <w:t>United States v. Martinez</w:t>
      </w:r>
    </w:p>
    <w:p w14:paraId="74F0733E" w14:textId="62BBFD65" w:rsidR="000B7053" w:rsidRPr="00C67FD7" w:rsidRDefault="000B7053" w:rsidP="000B7053">
      <w:pPr>
        <w:rPr>
          <w:rFonts w:cstheme="minorHAnsi"/>
        </w:rPr>
      </w:pPr>
      <w:r w:rsidRPr="00C67FD7">
        <w:rPr>
          <w:rFonts w:cstheme="minorHAnsi"/>
        </w:rPr>
        <w:t>US Court of Appeals for the Fifth Circuit</w:t>
      </w:r>
    </w:p>
    <w:p w14:paraId="4781F57A" w14:textId="0D4F61B1" w:rsidR="000B7053" w:rsidRPr="00C67FD7" w:rsidRDefault="00C67FD7" w:rsidP="000B7053">
      <w:pPr>
        <w:rPr>
          <w:rFonts w:cstheme="minorHAnsi"/>
        </w:rPr>
      </w:pPr>
      <w:r w:rsidRPr="00C67FD7">
        <w:rPr>
          <w:rFonts w:cstheme="minorHAnsi"/>
        </w:rPr>
        <w:t>May 17, 2024</w:t>
      </w:r>
    </w:p>
    <w:p w14:paraId="5FB32F25" w14:textId="77777777" w:rsidR="000B7053" w:rsidRPr="00C67FD7" w:rsidRDefault="000B7053" w:rsidP="000B7053">
      <w:pPr>
        <w:rPr>
          <w:rFonts w:cstheme="minorHAnsi"/>
        </w:rPr>
      </w:pPr>
      <w:r w:rsidRPr="00C67FD7">
        <w:rPr>
          <w:rFonts w:cstheme="minorHAnsi"/>
        </w:rPr>
        <w:t>Docket: 23-40366</w:t>
      </w:r>
    </w:p>
    <w:p w14:paraId="782498DF" w14:textId="77777777" w:rsidR="000B7053" w:rsidRDefault="000B7053" w:rsidP="000B7053">
      <w:pPr>
        <w:rPr>
          <w:rFonts w:cstheme="minorHAnsi"/>
        </w:rPr>
      </w:pPr>
    </w:p>
    <w:p w14:paraId="3AA99E11" w14:textId="77777777" w:rsidR="00C67FD7" w:rsidRPr="00C67FD7" w:rsidRDefault="00C67FD7" w:rsidP="00C67FD7">
      <w:pPr>
        <w:rPr>
          <w:rFonts w:cstheme="minorHAnsi"/>
          <w:i/>
          <w:iCs/>
        </w:rPr>
      </w:pPr>
      <w:r w:rsidRPr="00C67FD7">
        <w:rPr>
          <w:rFonts w:cstheme="minorHAnsi"/>
          <w:i/>
          <w:iCs/>
        </w:rPr>
        <w:t>LEO LAW Topics 1-6, 5-22: K9 was properly trained to detect humans, and therefore, an alert on a tractor-trailer at an immigration checkpoint established the reasonable suspicion required to extend the stop and the probable cause required to search the trailer.</w:t>
      </w:r>
    </w:p>
    <w:p w14:paraId="1821D77B" w14:textId="77777777" w:rsidR="00C67FD7" w:rsidRPr="00C67FD7" w:rsidRDefault="00C67FD7" w:rsidP="00C67FD7">
      <w:pPr>
        <w:rPr>
          <w:rFonts w:cstheme="minorHAnsi"/>
        </w:rPr>
      </w:pPr>
    </w:p>
    <w:p w14:paraId="65545356" w14:textId="77777777" w:rsidR="00C67FD7" w:rsidRPr="00C67FD7" w:rsidRDefault="00C67FD7" w:rsidP="00C67FD7">
      <w:pPr>
        <w:rPr>
          <w:rFonts w:cstheme="minorHAnsi"/>
        </w:rPr>
      </w:pPr>
      <w:r w:rsidRPr="00C67FD7">
        <w:rPr>
          <w:rFonts w:cstheme="minorHAnsi"/>
        </w:rPr>
        <w:t>Buzzy Martinez was arrested by U.S. Border Patrol Agent Steven Compton and charged with transporting undocumented aliens hidden in his tractor-trailer after Compton’s canine “Bak” canine alerted him to the presence of humans within the trailer. Martinez argued that the canine’s alerts could not provide the handler with the necessary reasonable suspicion to extend the stop of his vehicle and probable cause to search it because dogs cannot reliably differentiate between the scents of a vehicle’s driver and concealed humans within the vehicle.</w:t>
      </w:r>
    </w:p>
    <w:p w14:paraId="6F0DF949" w14:textId="77777777" w:rsidR="00C67FD7" w:rsidRPr="00C67FD7" w:rsidRDefault="00C67FD7" w:rsidP="00C67FD7">
      <w:pPr>
        <w:rPr>
          <w:rFonts w:cstheme="minorHAnsi"/>
        </w:rPr>
      </w:pPr>
    </w:p>
    <w:p w14:paraId="062146B5" w14:textId="77777777" w:rsidR="00C67FD7" w:rsidRPr="00C67FD7" w:rsidRDefault="00C67FD7" w:rsidP="00C67FD7">
      <w:pPr>
        <w:rPr>
          <w:rFonts w:cstheme="minorHAnsi"/>
        </w:rPr>
      </w:pPr>
      <w:r w:rsidRPr="00C67FD7">
        <w:rPr>
          <w:rFonts w:cstheme="minorHAnsi"/>
        </w:rPr>
        <w:t>The district court found that canines can detect concealed humans and that K-9 Bak and Agent Compton were adequately trained and certified to detect concealed humans. The court concluded that the canine’s alerts and indications were reliable, providing reasonable suspicion to extend the stop for a second sniff and probable cause to search Martinez’s tractor-trailer after Martinez was removed from the vehicle. Martinez was sentenced to eighteen months in prison, and he appealed the ruling.</w:t>
      </w:r>
    </w:p>
    <w:p w14:paraId="45A2317F" w14:textId="77777777" w:rsidR="00C67FD7" w:rsidRPr="00C67FD7" w:rsidRDefault="00C67FD7" w:rsidP="00C67FD7">
      <w:pPr>
        <w:rPr>
          <w:rFonts w:cstheme="minorHAnsi"/>
        </w:rPr>
      </w:pPr>
    </w:p>
    <w:p w14:paraId="40E055EC" w14:textId="7A51A143" w:rsidR="00C67FD7" w:rsidRDefault="00C67FD7" w:rsidP="00C67FD7">
      <w:pPr>
        <w:rPr>
          <w:rFonts w:cstheme="minorHAnsi"/>
        </w:rPr>
      </w:pPr>
      <w:r w:rsidRPr="00C67FD7">
        <w:rPr>
          <w:rFonts w:cstheme="minorHAnsi"/>
        </w:rPr>
        <w:t>The Fifth Circuit held that the district court's finding that the canine was reliable in detecting concealed humans was not clearly erroneous. The court also noted that the canine was trained and certified to detect both concealed humans and controlled substances, and Martinez did not contest the canine's ability to detect controlled substances. Therefore, the canine's alert gave the handler reasonable suspicion to investigate for and probable cause to search for controlled substances. The court concluded that the canine's alerts and indications at the primary inspection point provided reasonable suspicion to extend the stop and investigate for concealed humans, and at the secondary inspection point, after Martinez exited the vehicle and stated no one else was inside, the canine's continued alerts to the cab area of Martinez’s tractor-trailer provided probable cause to search the cab for concealed humans. The court affirmed the district court's decision denying the motion to suppress the evidence.</w:t>
      </w:r>
    </w:p>
    <w:p w14:paraId="1E278BE7" w14:textId="77777777" w:rsidR="00C67FD7" w:rsidRDefault="00C67FD7" w:rsidP="000B7053">
      <w:pPr>
        <w:rPr>
          <w:rFonts w:cstheme="minorHAnsi"/>
        </w:rPr>
      </w:pPr>
    </w:p>
    <w:p w14:paraId="18FCD653" w14:textId="06C02B6D" w:rsidR="00C67FD7" w:rsidRDefault="00C67FD7" w:rsidP="000B7053">
      <w:pPr>
        <w:rPr>
          <w:rFonts w:cstheme="minorHAnsi"/>
        </w:rPr>
      </w:pPr>
      <w:r>
        <w:rPr>
          <w:rFonts w:cstheme="minorHAnsi"/>
        </w:rPr>
        <w:t>EIGHTH CIRCUIT</w:t>
      </w:r>
    </w:p>
    <w:p w14:paraId="06F162CD" w14:textId="77777777" w:rsidR="00C67FD7" w:rsidRDefault="00C67FD7" w:rsidP="000B7053">
      <w:pPr>
        <w:rPr>
          <w:rFonts w:cstheme="minorHAnsi"/>
        </w:rPr>
      </w:pPr>
    </w:p>
    <w:p w14:paraId="6B3BEF1C" w14:textId="77777777" w:rsidR="00270BD6" w:rsidRPr="00270BD6" w:rsidRDefault="00270BD6" w:rsidP="00270BD6">
      <w:pPr>
        <w:rPr>
          <w:rFonts w:cstheme="minorHAnsi"/>
        </w:rPr>
      </w:pPr>
      <w:r w:rsidRPr="00270BD6">
        <w:rPr>
          <w:rFonts w:cstheme="minorHAnsi"/>
          <w:b/>
          <w:bCs/>
        </w:rPr>
        <w:t>Sessler v. City of Davenport, Iowa</w:t>
      </w:r>
      <w:r w:rsidRPr="00270BD6">
        <w:rPr>
          <w:rFonts w:cstheme="minorHAnsi"/>
        </w:rPr>
        <w:br/>
        <w:t>US Court of Appeals for the Eighth Circuit</w:t>
      </w:r>
      <w:r w:rsidRPr="00270BD6">
        <w:rPr>
          <w:rFonts w:cstheme="minorHAnsi"/>
        </w:rPr>
        <w:br/>
        <w:t>May 23, 2024</w:t>
      </w:r>
      <w:r w:rsidRPr="00270BD6">
        <w:rPr>
          <w:rFonts w:cstheme="minorHAnsi"/>
        </w:rPr>
        <w:br/>
        <w:t>Docket: 22-3459</w:t>
      </w:r>
    </w:p>
    <w:p w14:paraId="4091E434" w14:textId="77777777" w:rsidR="00270BD6" w:rsidRDefault="00270BD6" w:rsidP="00270BD6">
      <w:pPr>
        <w:rPr>
          <w:rFonts w:cstheme="minorHAnsi"/>
          <w:i/>
          <w:iCs/>
        </w:rPr>
      </w:pPr>
    </w:p>
    <w:p w14:paraId="7550E7A0" w14:textId="59417E2A" w:rsidR="00270BD6" w:rsidRPr="00270BD6" w:rsidRDefault="00270BD6" w:rsidP="00270BD6">
      <w:pPr>
        <w:rPr>
          <w:rFonts w:cstheme="minorHAnsi"/>
        </w:rPr>
      </w:pPr>
      <w:r w:rsidRPr="00270BD6">
        <w:rPr>
          <w:rFonts w:cstheme="minorHAnsi"/>
          <w:i/>
          <w:iCs/>
        </w:rPr>
        <w:t>LEO LAW Topic 9-4: Whether fenced-off city streets and sidewalks remained a "traditional public forum" or served as a less-protected "limited public forum" during the festival was not “clearly established” such as to preclude qualified immunity.</w:t>
      </w:r>
    </w:p>
    <w:p w14:paraId="06508A91" w14:textId="77777777" w:rsidR="00270BD6" w:rsidRDefault="00270BD6" w:rsidP="00270BD6">
      <w:pPr>
        <w:rPr>
          <w:rFonts w:cstheme="minorHAnsi"/>
        </w:rPr>
      </w:pPr>
    </w:p>
    <w:p w14:paraId="3BD2D90A" w14:textId="37EC7BA7" w:rsidR="00270BD6" w:rsidRPr="00270BD6" w:rsidRDefault="00270BD6" w:rsidP="00270BD6">
      <w:pPr>
        <w:rPr>
          <w:rFonts w:cstheme="minorHAnsi"/>
        </w:rPr>
      </w:pPr>
      <w:r w:rsidRPr="00270BD6">
        <w:rPr>
          <w:rFonts w:cstheme="minorHAnsi"/>
        </w:rPr>
        <w:t xml:space="preserve">Cory Sessler, a religious preacher, and his group were preaching loudly at a commercial festival in Davenport, Iowa. The festival was held in a fenced-off area of the city's downtown streets and sidewalks, </w:t>
      </w:r>
      <w:r w:rsidRPr="00270BD6">
        <w:rPr>
          <w:rFonts w:cstheme="minorHAnsi"/>
        </w:rPr>
        <w:lastRenderedPageBreak/>
        <w:t>which were typically considered a "traditional public forum." However, during the festival, pedestrian access was controlled, and vendors rented spaces to sell goods. Three police officers asked Sessler and his group, who were not paying vendors, to relocate outside the fences due to complaints from nearby vendors.</w:t>
      </w:r>
    </w:p>
    <w:p w14:paraId="7E5D9525" w14:textId="77777777" w:rsidR="00506349" w:rsidRDefault="00506349" w:rsidP="00270BD6">
      <w:pPr>
        <w:rPr>
          <w:rFonts w:cstheme="minorHAnsi"/>
        </w:rPr>
      </w:pPr>
    </w:p>
    <w:p w14:paraId="22DD2E79" w14:textId="1A385690" w:rsidR="00270BD6" w:rsidRPr="00270BD6" w:rsidRDefault="00270BD6" w:rsidP="00270BD6">
      <w:pPr>
        <w:rPr>
          <w:rFonts w:cstheme="minorHAnsi"/>
        </w:rPr>
      </w:pPr>
      <w:r w:rsidRPr="00270BD6">
        <w:rPr>
          <w:rFonts w:cstheme="minorHAnsi"/>
        </w:rPr>
        <w:t>Sessler later sued the city and the three officers, alleging they violated his First Amendment rights by denying him the ability to preach loudly from the traditional public forum. The officers sought qualified immunity through a motion for summary judgment. The district court granted summary judgment to the officers, concluding that the officers did not violate Sessler's rights and that they were protected by qualified immunity. The court also granted summary judgment to the city on the official-policy claims.</w:t>
      </w:r>
    </w:p>
    <w:p w14:paraId="2672B938" w14:textId="77777777" w:rsidR="00506349" w:rsidRDefault="00506349" w:rsidP="00270BD6">
      <w:pPr>
        <w:rPr>
          <w:rFonts w:cstheme="minorHAnsi"/>
        </w:rPr>
      </w:pPr>
    </w:p>
    <w:p w14:paraId="1A4CA9A2" w14:textId="21DC95FC" w:rsidR="00270BD6" w:rsidRPr="00270BD6" w:rsidRDefault="00270BD6" w:rsidP="00270BD6">
      <w:pPr>
        <w:rPr>
          <w:rFonts w:cstheme="minorHAnsi"/>
        </w:rPr>
      </w:pPr>
      <w:r w:rsidRPr="00270BD6">
        <w:rPr>
          <w:rFonts w:cstheme="minorHAnsi"/>
        </w:rPr>
        <w:t>The United States Court of Appeals for the Eighth Circuit agreed that qualified immunity applied to the claims against the officers. The court found it unclear whether the fenced-off city streets and sidewalks remained a "traditional public forum" or served as a less-protected "limited public forum" during the festival. The court also found that no reasonable trier of fact could conclude that the officers' actions were anything but content-neutral or that such actions were unreasonable. Accordingly, the court affirmed the judgment of the district court.</w:t>
      </w:r>
    </w:p>
    <w:p w14:paraId="433493B6" w14:textId="77777777" w:rsidR="00270BD6" w:rsidRDefault="00270BD6" w:rsidP="000B7053">
      <w:pPr>
        <w:rPr>
          <w:rFonts w:cstheme="minorHAnsi"/>
        </w:rPr>
      </w:pPr>
    </w:p>
    <w:p w14:paraId="2E38E1AB" w14:textId="77777777" w:rsidR="00270BD6" w:rsidRDefault="00270BD6" w:rsidP="000B7053">
      <w:pPr>
        <w:rPr>
          <w:rFonts w:cstheme="minorHAnsi"/>
        </w:rPr>
      </w:pPr>
    </w:p>
    <w:p w14:paraId="5696A526" w14:textId="6BC67FA3" w:rsidR="00270BD6" w:rsidRDefault="00270BD6" w:rsidP="000B7053">
      <w:pPr>
        <w:rPr>
          <w:rFonts w:cstheme="minorHAnsi"/>
        </w:rPr>
      </w:pPr>
      <w:r>
        <w:rPr>
          <w:rFonts w:cstheme="minorHAnsi"/>
        </w:rPr>
        <w:t>TENTH CIRCUIT</w:t>
      </w:r>
    </w:p>
    <w:p w14:paraId="4158C859" w14:textId="77777777" w:rsidR="00270BD6" w:rsidRPr="00C67FD7" w:rsidRDefault="00270BD6" w:rsidP="001442DC">
      <w:pPr>
        <w:rPr>
          <w:rFonts w:cstheme="minorHAnsi"/>
        </w:rPr>
      </w:pPr>
    </w:p>
    <w:p w14:paraId="2A519F96" w14:textId="6C19E47F" w:rsidR="001442DC" w:rsidRPr="00506349" w:rsidRDefault="001442DC" w:rsidP="001442DC">
      <w:pPr>
        <w:rPr>
          <w:rFonts w:cstheme="minorHAnsi"/>
          <w:b/>
          <w:bCs/>
        </w:rPr>
      </w:pPr>
      <w:r w:rsidRPr="00506349">
        <w:rPr>
          <w:rFonts w:cstheme="minorHAnsi"/>
          <w:b/>
          <w:bCs/>
        </w:rPr>
        <w:t>United States v. Elmore</w:t>
      </w:r>
    </w:p>
    <w:p w14:paraId="52DFE98D" w14:textId="3D932B6E" w:rsidR="001442DC" w:rsidRPr="00C67FD7" w:rsidRDefault="001442DC" w:rsidP="001442DC">
      <w:pPr>
        <w:rPr>
          <w:rFonts w:cstheme="minorHAnsi"/>
        </w:rPr>
      </w:pPr>
      <w:r w:rsidRPr="00C67FD7">
        <w:rPr>
          <w:rFonts w:cstheme="minorHAnsi"/>
        </w:rPr>
        <w:t>US Court of Appeals for the Tenth Circuit</w:t>
      </w:r>
    </w:p>
    <w:p w14:paraId="730F9F9C" w14:textId="5C276A1A" w:rsidR="001442DC" w:rsidRPr="00C67FD7" w:rsidRDefault="00506349" w:rsidP="001442DC">
      <w:pPr>
        <w:rPr>
          <w:rFonts w:cstheme="minorHAnsi"/>
        </w:rPr>
      </w:pPr>
      <w:r w:rsidRPr="00506349">
        <w:rPr>
          <w:rFonts w:cstheme="minorHAnsi"/>
        </w:rPr>
        <w:t>May 21, 2024</w:t>
      </w:r>
    </w:p>
    <w:p w14:paraId="396B1843" w14:textId="77777777" w:rsidR="001442DC" w:rsidRPr="00C67FD7" w:rsidRDefault="001442DC" w:rsidP="001442DC">
      <w:pPr>
        <w:rPr>
          <w:rFonts w:cstheme="minorHAnsi"/>
        </w:rPr>
      </w:pPr>
      <w:r w:rsidRPr="00C67FD7">
        <w:rPr>
          <w:rFonts w:cstheme="minorHAnsi"/>
        </w:rPr>
        <w:t>Docket: 22-1432</w:t>
      </w:r>
    </w:p>
    <w:p w14:paraId="5C8E8E17" w14:textId="77777777" w:rsidR="001442DC" w:rsidRPr="00C67FD7" w:rsidRDefault="001442DC" w:rsidP="001442DC">
      <w:pPr>
        <w:rPr>
          <w:rFonts w:cstheme="minorHAnsi"/>
        </w:rPr>
      </w:pPr>
    </w:p>
    <w:p w14:paraId="7D4E8BB2" w14:textId="212B4F36" w:rsidR="001442DC" w:rsidRPr="00506349" w:rsidRDefault="00506349" w:rsidP="001442DC">
      <w:pPr>
        <w:rPr>
          <w:rFonts w:cstheme="minorHAnsi"/>
          <w:i/>
          <w:iCs/>
        </w:rPr>
      </w:pPr>
      <w:r w:rsidRPr="00506349">
        <w:rPr>
          <w:rFonts w:cstheme="minorHAnsi"/>
          <w:i/>
          <w:iCs/>
        </w:rPr>
        <w:t>LEO LAW Topic 6-9: Exigent seizure of a home, denying entry to occupants for over eight hours before seeking a search warrant, was an unreasonable seizure.</w:t>
      </w:r>
    </w:p>
    <w:p w14:paraId="1131B1B8" w14:textId="77777777" w:rsidR="00506349" w:rsidRPr="00C67FD7" w:rsidRDefault="00506349" w:rsidP="001442DC">
      <w:pPr>
        <w:rPr>
          <w:rFonts w:cstheme="minorHAnsi"/>
        </w:rPr>
      </w:pPr>
    </w:p>
    <w:p w14:paraId="3024C296" w14:textId="6F185175" w:rsidR="00506349" w:rsidRDefault="00506349" w:rsidP="00506349">
      <w:pPr>
        <w:rPr>
          <w:rFonts w:cstheme="minorHAnsi"/>
        </w:rPr>
      </w:pPr>
      <w:r>
        <w:rPr>
          <w:rFonts w:cstheme="minorHAnsi"/>
        </w:rPr>
        <w:t xml:space="preserve">Corban Elmore found his son </w:t>
      </w:r>
      <w:r w:rsidRPr="00506349">
        <w:rPr>
          <w:rFonts w:cstheme="minorHAnsi"/>
        </w:rPr>
        <w:t>unresponsive, unconscious, and not breathing</w:t>
      </w:r>
      <w:r>
        <w:rPr>
          <w:rFonts w:cstheme="minorHAnsi"/>
        </w:rPr>
        <w:t>. Suspecting a drug overdose, he dialed 911 for emergency medical assistance</w:t>
      </w:r>
      <w:r w:rsidR="001442DC" w:rsidRPr="00C67FD7">
        <w:rPr>
          <w:rFonts w:cstheme="minorHAnsi"/>
        </w:rPr>
        <w:t xml:space="preserve">. </w:t>
      </w:r>
      <w:r>
        <w:rPr>
          <w:rFonts w:cstheme="minorHAnsi"/>
        </w:rPr>
        <w:t xml:space="preserve">When officers arrived, they attended to Elmore’s son, who had been moved outside the home to a concrete sidewalk. When the EMTs arrived, they inquired as to the type of drug that Elmore’s son had ingested. </w:t>
      </w:r>
      <w:r w:rsidRPr="00506349">
        <w:rPr>
          <w:rFonts w:cstheme="minorHAnsi"/>
        </w:rPr>
        <w:t>Elmore led the EMT inside the house, pointed the way to his son’s bedroom,</w:t>
      </w:r>
      <w:r>
        <w:rPr>
          <w:rFonts w:cstheme="minorHAnsi"/>
        </w:rPr>
        <w:t xml:space="preserve"> </w:t>
      </w:r>
      <w:r w:rsidRPr="00506349">
        <w:rPr>
          <w:rFonts w:cstheme="minorHAnsi"/>
        </w:rPr>
        <w:t>and gestured toward an open metal box lying on the bed. The box contained vials of</w:t>
      </w:r>
      <w:r>
        <w:rPr>
          <w:rFonts w:cstheme="minorHAnsi"/>
        </w:rPr>
        <w:t xml:space="preserve"> </w:t>
      </w:r>
      <w:r w:rsidRPr="00506349">
        <w:rPr>
          <w:rFonts w:cstheme="minorHAnsi"/>
        </w:rPr>
        <w:t>various drugs, including fentanyl and propofol, as well as an assortment of used drug</w:t>
      </w:r>
      <w:r>
        <w:rPr>
          <w:rFonts w:cstheme="minorHAnsi"/>
        </w:rPr>
        <w:t xml:space="preserve"> </w:t>
      </w:r>
      <w:r w:rsidRPr="00506349">
        <w:rPr>
          <w:rFonts w:cstheme="minorHAnsi"/>
        </w:rPr>
        <w:t>paraphernalia. The EMT took the box with him, and Elmore also left</w:t>
      </w:r>
      <w:r>
        <w:rPr>
          <w:rFonts w:cstheme="minorHAnsi"/>
        </w:rPr>
        <w:t xml:space="preserve"> </w:t>
      </w:r>
      <w:r w:rsidRPr="00506349">
        <w:rPr>
          <w:rFonts w:cstheme="minorHAnsi"/>
        </w:rPr>
        <w:t>the property, following the ambulance in a separate vehicle.</w:t>
      </w:r>
      <w:r>
        <w:rPr>
          <w:rFonts w:cstheme="minorHAnsi"/>
        </w:rPr>
        <w:t xml:space="preserve"> Shortly thereafter, officers secured the home to prevent anyone from entering.</w:t>
      </w:r>
    </w:p>
    <w:p w14:paraId="5FFF6CC5" w14:textId="77777777" w:rsidR="00506349" w:rsidRDefault="00506349" w:rsidP="001442DC">
      <w:pPr>
        <w:rPr>
          <w:rFonts w:cstheme="minorHAnsi"/>
        </w:rPr>
      </w:pPr>
    </w:p>
    <w:p w14:paraId="495231B6" w14:textId="12F9F855" w:rsidR="001442DC" w:rsidRPr="00C67FD7" w:rsidRDefault="001442DC" w:rsidP="001442DC">
      <w:pPr>
        <w:rPr>
          <w:rFonts w:cstheme="minorHAnsi"/>
        </w:rPr>
      </w:pPr>
      <w:r w:rsidRPr="00C67FD7">
        <w:rPr>
          <w:rFonts w:cstheme="minorHAnsi"/>
        </w:rPr>
        <w:t xml:space="preserve">After securing the scene and prohibiting anyone from entering the house, the officers waited almost eight hours before applying for a search warrant. </w:t>
      </w:r>
      <w:r w:rsidR="00506349">
        <w:rPr>
          <w:rFonts w:cstheme="minorHAnsi"/>
        </w:rPr>
        <w:t xml:space="preserve">During this time, both Elmore, his wife Jessica Hayes (who had just been released from the hospital for foot surgery), and their young child pled with officers to allow them inside to attend to their pets. They offered their consent for the officers to go inside and search their son's bedroom for drugs and allow them to tend to the pets, but the officers declined the offer. </w:t>
      </w:r>
      <w:r w:rsidRPr="00C67FD7">
        <w:rPr>
          <w:rFonts w:cstheme="minorHAnsi"/>
        </w:rPr>
        <w:t>Once they had a warrant, they searched Elmore’s home and discovered two firearms in his bedroom. Elmore, a convicted felon, entered a conditional guilty plea to being a felon in possession of a firearm and appealed the denial of his motion to suppress the firearms.</w:t>
      </w:r>
    </w:p>
    <w:p w14:paraId="7149EB4E" w14:textId="77777777" w:rsidR="001442DC" w:rsidRPr="00C67FD7" w:rsidRDefault="001442DC" w:rsidP="001442DC">
      <w:pPr>
        <w:rPr>
          <w:rFonts w:cstheme="minorHAnsi"/>
        </w:rPr>
      </w:pPr>
    </w:p>
    <w:p w14:paraId="3BD50786" w14:textId="1664E36D" w:rsidR="001442DC" w:rsidRPr="00C67FD7" w:rsidRDefault="00506349" w:rsidP="001442DC">
      <w:pPr>
        <w:rPr>
          <w:rFonts w:cstheme="minorHAnsi"/>
        </w:rPr>
      </w:pPr>
      <w:r>
        <w:rPr>
          <w:rFonts w:cstheme="minorHAnsi"/>
        </w:rPr>
        <w:lastRenderedPageBreak/>
        <w:t xml:space="preserve">Elmore filed a motion to suppress the evidence, arguing the seizure of his home violated his Fourth Amendment rights. </w:t>
      </w:r>
      <w:r w:rsidR="001442DC" w:rsidRPr="00C67FD7">
        <w:rPr>
          <w:rFonts w:cstheme="minorHAnsi"/>
        </w:rPr>
        <w:t>The District Court for the District of Colorado denied Elmore's motion to suppress the firearms, finding no Fourth Amendment violation. The court determined that the officers reasonably seized Elmore’s home because they had probable cause to believe the home contained evidence of drug possession and had good reason to fear that evidence would be destroyed before they could secure a search warrant. The court also concluded that the officers acted reasonably throughout the seizure, finding it appropriate for them to prohibit anyone from entering the home and to delay obtaining a warrant so that the lead detective could focus on his investigation.</w:t>
      </w:r>
    </w:p>
    <w:p w14:paraId="768E60A4" w14:textId="77777777" w:rsidR="001442DC" w:rsidRPr="00C67FD7" w:rsidRDefault="001442DC" w:rsidP="001442DC">
      <w:pPr>
        <w:rPr>
          <w:rFonts w:cstheme="minorHAnsi"/>
        </w:rPr>
      </w:pPr>
    </w:p>
    <w:p w14:paraId="771BDF98" w14:textId="4D2F3B03" w:rsidR="001442DC" w:rsidRPr="00C67FD7" w:rsidRDefault="001442DC" w:rsidP="001442DC">
      <w:pPr>
        <w:rPr>
          <w:rFonts w:cstheme="minorHAnsi"/>
        </w:rPr>
      </w:pPr>
      <w:r w:rsidRPr="00C67FD7">
        <w:rPr>
          <w:rFonts w:cstheme="minorHAnsi"/>
        </w:rPr>
        <w:t xml:space="preserve">The United States Court of Appeals for the Tenth Circuit </w:t>
      </w:r>
      <w:r w:rsidR="00506349">
        <w:rPr>
          <w:rFonts w:cstheme="minorHAnsi"/>
        </w:rPr>
        <w:t xml:space="preserve">disagreed and </w:t>
      </w:r>
      <w:r w:rsidRPr="00C67FD7">
        <w:rPr>
          <w:rFonts w:cstheme="minorHAnsi"/>
        </w:rPr>
        <w:t xml:space="preserve">reversed the lower court's decision. </w:t>
      </w:r>
      <w:r w:rsidR="00506349">
        <w:rPr>
          <w:rFonts w:cstheme="minorHAnsi"/>
        </w:rPr>
        <w:t xml:space="preserve">Applying the four-factor test developed by the Supreme Court in </w:t>
      </w:r>
      <w:r w:rsidR="00506349" w:rsidRPr="00506349">
        <w:rPr>
          <w:rFonts w:cstheme="minorHAnsi"/>
        </w:rPr>
        <w:t>Illinois v. McArthur, 531 U.S.</w:t>
      </w:r>
      <w:r w:rsidR="00506349">
        <w:rPr>
          <w:rFonts w:cstheme="minorHAnsi"/>
        </w:rPr>
        <w:t xml:space="preserve"> </w:t>
      </w:r>
      <w:r w:rsidR="00506349" w:rsidRPr="00506349">
        <w:rPr>
          <w:rFonts w:cstheme="minorHAnsi"/>
        </w:rPr>
        <w:t>326 (2001)</w:t>
      </w:r>
      <w:r w:rsidR="00506349">
        <w:rPr>
          <w:rFonts w:cstheme="minorHAnsi"/>
        </w:rPr>
        <w:t xml:space="preserve">, the Tenth Circuit held that the initial seizure was reasonable under the first two prongs of the test, but that the continued </w:t>
      </w:r>
      <w:r w:rsidRPr="00C67FD7">
        <w:rPr>
          <w:rFonts w:cstheme="minorHAnsi"/>
        </w:rPr>
        <w:t xml:space="preserve">eight-hour seizure of Elmore’s home was unreasonable </w:t>
      </w:r>
      <w:r w:rsidR="00506349">
        <w:rPr>
          <w:rFonts w:cstheme="minorHAnsi"/>
        </w:rPr>
        <w:t xml:space="preserve">under the second two prongs of the test. Specifically, the </w:t>
      </w:r>
      <w:r w:rsidRPr="00C67FD7">
        <w:rPr>
          <w:rFonts w:cstheme="minorHAnsi"/>
        </w:rPr>
        <w:t xml:space="preserve">court found that the officers made no effort to reconcile their law-enforcement needs with Elmore’s Fourth Amendment interests in his home and extended the seizure longer than reasonably necessary to diligently secure a warrant. </w:t>
      </w:r>
      <w:r w:rsidR="00506349">
        <w:rPr>
          <w:rFonts w:cstheme="minorHAnsi"/>
        </w:rPr>
        <w:t xml:space="preserve">Accordingly, the court </w:t>
      </w:r>
      <w:r w:rsidR="00506349" w:rsidRPr="00506349">
        <w:rPr>
          <w:rFonts w:cstheme="minorHAnsi"/>
        </w:rPr>
        <w:t>reverse</w:t>
      </w:r>
      <w:r w:rsidR="00506349">
        <w:rPr>
          <w:rFonts w:cstheme="minorHAnsi"/>
        </w:rPr>
        <w:t>d</w:t>
      </w:r>
      <w:r w:rsidR="00506349" w:rsidRPr="00506349">
        <w:rPr>
          <w:rFonts w:cstheme="minorHAnsi"/>
        </w:rPr>
        <w:t xml:space="preserve"> the district court’s order denying </w:t>
      </w:r>
      <w:r w:rsidR="00506349">
        <w:rPr>
          <w:rFonts w:cstheme="minorHAnsi"/>
        </w:rPr>
        <w:t xml:space="preserve">Elmore’s motion to suppress. </w:t>
      </w:r>
    </w:p>
    <w:p w14:paraId="3CF26806" w14:textId="77777777" w:rsidR="001442DC" w:rsidRPr="00C67FD7" w:rsidRDefault="001442DC" w:rsidP="001442DC">
      <w:pPr>
        <w:rPr>
          <w:rFonts w:cstheme="minorHAnsi"/>
        </w:rPr>
      </w:pPr>
    </w:p>
    <w:p w14:paraId="0641FB11" w14:textId="77777777" w:rsidR="000B7053" w:rsidRPr="00C67FD7" w:rsidRDefault="000B7053" w:rsidP="001442DC">
      <w:pPr>
        <w:rPr>
          <w:rFonts w:cstheme="minorHAnsi"/>
        </w:rPr>
      </w:pPr>
    </w:p>
    <w:p w14:paraId="2BD654A8" w14:textId="77777777" w:rsidR="000B7053" w:rsidRPr="0012064E" w:rsidRDefault="000B7053" w:rsidP="000B7053">
      <w:pPr>
        <w:rPr>
          <w:rFonts w:cstheme="minorHAnsi"/>
          <w:b/>
          <w:bCs/>
        </w:rPr>
      </w:pPr>
      <w:r w:rsidRPr="0012064E">
        <w:rPr>
          <w:rFonts w:cstheme="minorHAnsi"/>
          <w:b/>
          <w:bCs/>
        </w:rPr>
        <w:t>United States v. Pena</w:t>
      </w:r>
    </w:p>
    <w:p w14:paraId="6D909CD0" w14:textId="4BB57F22" w:rsidR="000B7053" w:rsidRPr="00C67FD7" w:rsidRDefault="000B7053" w:rsidP="000B7053">
      <w:pPr>
        <w:rPr>
          <w:rFonts w:cstheme="minorHAnsi"/>
        </w:rPr>
      </w:pPr>
      <w:r w:rsidRPr="00C67FD7">
        <w:rPr>
          <w:rFonts w:cstheme="minorHAnsi"/>
        </w:rPr>
        <w:t>US Court of Appeals for the Tenth Circuit</w:t>
      </w:r>
    </w:p>
    <w:p w14:paraId="5FDCD870" w14:textId="376F31D6" w:rsidR="000B7053" w:rsidRPr="00C67FD7" w:rsidRDefault="0012064E" w:rsidP="000B7053">
      <w:pPr>
        <w:rPr>
          <w:rFonts w:cstheme="minorHAnsi"/>
        </w:rPr>
      </w:pPr>
      <w:r w:rsidRPr="0012064E">
        <w:rPr>
          <w:rFonts w:cstheme="minorHAnsi"/>
        </w:rPr>
        <w:t>May 20, 2024</w:t>
      </w:r>
    </w:p>
    <w:p w14:paraId="36682AB6" w14:textId="77777777" w:rsidR="000B7053" w:rsidRPr="00C67FD7" w:rsidRDefault="000B7053" w:rsidP="000B7053">
      <w:pPr>
        <w:rPr>
          <w:rFonts w:cstheme="minorHAnsi"/>
        </w:rPr>
      </w:pPr>
      <w:r w:rsidRPr="00C67FD7">
        <w:rPr>
          <w:rFonts w:cstheme="minorHAnsi"/>
        </w:rPr>
        <w:t>Docket: 22-2154</w:t>
      </w:r>
    </w:p>
    <w:p w14:paraId="553B62C8" w14:textId="77777777" w:rsidR="000B7053" w:rsidRPr="00C67FD7" w:rsidRDefault="000B7053" w:rsidP="000B7053">
      <w:pPr>
        <w:rPr>
          <w:rFonts w:cstheme="minorHAnsi"/>
        </w:rPr>
      </w:pPr>
    </w:p>
    <w:p w14:paraId="473070CB" w14:textId="788109D3" w:rsidR="000B7053" w:rsidRPr="0012064E" w:rsidRDefault="0012064E" w:rsidP="000B7053">
      <w:pPr>
        <w:rPr>
          <w:rFonts w:cstheme="minorHAnsi"/>
          <w:i/>
          <w:iCs/>
        </w:rPr>
      </w:pPr>
      <w:r w:rsidRPr="0012064E">
        <w:rPr>
          <w:rFonts w:cstheme="minorHAnsi"/>
          <w:i/>
          <w:iCs/>
        </w:rPr>
        <w:t>LEO LAW Topic 1-6, 4-7: The names of the files and folders, the defendant’s statements about the use of peer-to-peer file transfers, and the Special Agent’s training and experience established the probable cause for a digital data search warrant.</w:t>
      </w:r>
    </w:p>
    <w:p w14:paraId="2863EADF" w14:textId="77777777" w:rsidR="000B7053" w:rsidRPr="00C67FD7" w:rsidRDefault="000B7053" w:rsidP="000B7053">
      <w:pPr>
        <w:rPr>
          <w:rFonts w:cstheme="minorHAnsi"/>
        </w:rPr>
      </w:pPr>
    </w:p>
    <w:p w14:paraId="7EB5B436" w14:textId="720518F2" w:rsidR="0012064E" w:rsidRDefault="0012064E" w:rsidP="0012064E">
      <w:pPr>
        <w:rPr>
          <w:rFonts w:cstheme="minorHAnsi"/>
        </w:rPr>
      </w:pPr>
      <w:r>
        <w:rPr>
          <w:rFonts w:cstheme="minorHAnsi"/>
        </w:rPr>
        <w:t>T</w:t>
      </w:r>
      <w:r w:rsidRPr="0012064E">
        <w:rPr>
          <w:rFonts w:cstheme="minorHAnsi"/>
        </w:rPr>
        <w:t xml:space="preserve">he Department of Energy’s Office of the Inspector General began </w:t>
      </w:r>
      <w:r>
        <w:rPr>
          <w:rFonts w:cstheme="minorHAnsi"/>
        </w:rPr>
        <w:t>investigating</w:t>
      </w:r>
      <w:r w:rsidRPr="0012064E">
        <w:rPr>
          <w:rFonts w:cstheme="minorHAnsi"/>
        </w:rPr>
        <w:t xml:space="preserve"> Bobby Pena for submitting fraudulent claims to his employer, Sandia National Laboratories. </w:t>
      </w:r>
      <w:r>
        <w:rPr>
          <w:rFonts w:cstheme="minorHAnsi"/>
        </w:rPr>
        <w:t>As a result of this investigation, they</w:t>
      </w:r>
      <w:r w:rsidRPr="0012064E">
        <w:rPr>
          <w:rFonts w:cstheme="minorHAnsi"/>
        </w:rPr>
        <w:t xml:space="preserve"> obtained a warrant to</w:t>
      </w:r>
      <w:r>
        <w:rPr>
          <w:rFonts w:cstheme="minorHAnsi"/>
        </w:rPr>
        <w:t xml:space="preserve"> </w:t>
      </w:r>
      <w:r w:rsidRPr="0012064E">
        <w:rPr>
          <w:rFonts w:cstheme="minorHAnsi"/>
        </w:rPr>
        <w:t>seize and search Pena’s electronic devices for evidence of fraudulent claims</w:t>
      </w:r>
      <w:r>
        <w:rPr>
          <w:rFonts w:cstheme="minorHAnsi"/>
        </w:rPr>
        <w:t xml:space="preserve">. </w:t>
      </w:r>
      <w:r w:rsidRPr="0012064E">
        <w:rPr>
          <w:rFonts w:cstheme="minorHAnsi"/>
        </w:rPr>
        <w:t xml:space="preserve">In December 2017, law enforcement officers executed </w:t>
      </w:r>
      <w:r>
        <w:rPr>
          <w:rFonts w:cstheme="minorHAnsi"/>
        </w:rPr>
        <w:t>the</w:t>
      </w:r>
      <w:r w:rsidRPr="0012064E">
        <w:rPr>
          <w:rFonts w:cstheme="minorHAnsi"/>
        </w:rPr>
        <w:t xml:space="preserve"> warrant on Pena’s laptop, seven external hard drives, and two thumb drives.</w:t>
      </w:r>
      <w:r>
        <w:rPr>
          <w:rFonts w:cstheme="minorHAnsi"/>
        </w:rPr>
        <w:t xml:space="preserve"> While executing the digital search warrant, OIG Special Agent Kucenski observed files and folders with names suggesting they contained child pornography including: </w:t>
      </w:r>
      <w:r w:rsidRPr="0012064E">
        <w:rPr>
          <w:rFonts w:cstheme="minorHAnsi"/>
        </w:rPr>
        <w:t>“HotYoungDoll,” “HotYoungThing,” “hotyoungthing-nude_xvid.avi,” “Casting Couch Teens Site Rip,” “Teens Do Porn SiteRip,” “teensx,” “DblTemedTens,” “Teens Obedience Lesson Site Rip,” and “Teen Sex Mania SiteRip.”</w:t>
      </w:r>
      <w:r>
        <w:rPr>
          <w:rFonts w:cstheme="minorHAnsi"/>
        </w:rPr>
        <w:t xml:space="preserve">  He did not open any of the files or folders. Based on this information, as well as his training and experience, SA Kucenski sought and obtained a second warrant to search the digital data for child pornography. The search yielded over 4000 images and movies of child pornography.</w:t>
      </w:r>
    </w:p>
    <w:p w14:paraId="013B5F90" w14:textId="77777777" w:rsidR="0012064E" w:rsidRDefault="0012064E" w:rsidP="000B7053">
      <w:pPr>
        <w:rPr>
          <w:rFonts w:cstheme="minorHAnsi"/>
        </w:rPr>
      </w:pPr>
    </w:p>
    <w:p w14:paraId="1C363FA9" w14:textId="7C148E7E" w:rsidR="000B7053" w:rsidRPr="00C67FD7" w:rsidRDefault="0012064E" w:rsidP="000B7053">
      <w:pPr>
        <w:rPr>
          <w:rFonts w:cstheme="minorHAnsi"/>
        </w:rPr>
      </w:pPr>
      <w:r>
        <w:rPr>
          <w:rFonts w:cstheme="minorHAnsi"/>
        </w:rPr>
        <w:t xml:space="preserve">Charged for the possession of child pornography, Pena filed a motion to suppress the </w:t>
      </w:r>
      <w:r w:rsidRPr="0012064E">
        <w:rPr>
          <w:rFonts w:cstheme="minorHAnsi"/>
        </w:rPr>
        <w:t>child pornography that was recovered on his devices</w:t>
      </w:r>
      <w:r>
        <w:rPr>
          <w:rFonts w:cstheme="minorHAnsi"/>
        </w:rPr>
        <w:t xml:space="preserve">, arguing </w:t>
      </w:r>
      <w:r w:rsidRPr="0012064E">
        <w:rPr>
          <w:rFonts w:cstheme="minorHAnsi"/>
        </w:rPr>
        <w:t>the affidavit upon which the search warrant was based did not present probable cause and that the federal agents did not act in good faith in executing the search warrant.</w:t>
      </w:r>
      <w:r>
        <w:rPr>
          <w:rFonts w:cstheme="minorHAnsi"/>
        </w:rPr>
        <w:t xml:space="preserve"> </w:t>
      </w:r>
      <w:r w:rsidRPr="0012064E">
        <w:rPr>
          <w:rFonts w:cstheme="minorHAnsi"/>
        </w:rPr>
        <w:t xml:space="preserve">The district court denied Pena's motion to suppress, concluding that the magistrate judge had a substantial factual basis to find probable cause. The court found that the file and folder names observed by Agent Kucenski indicated the presence of child pornography. The court also concluded that Pena's suspicious statements to officers supported a finding of probable cause. The court found that Pena's </w:t>
      </w:r>
      <w:r w:rsidRPr="0012064E">
        <w:rPr>
          <w:rFonts w:cstheme="minorHAnsi"/>
        </w:rPr>
        <w:lastRenderedPageBreak/>
        <w:t>practices with his digital devices and Agent Kucenski's declarations regarding the practices of child pornography collectors supported a finding of probable cause.</w:t>
      </w:r>
      <w:r>
        <w:rPr>
          <w:rFonts w:cstheme="minorHAnsi"/>
        </w:rPr>
        <w:t xml:space="preserve"> Pena pled </w:t>
      </w:r>
      <w:r w:rsidR="000B7053" w:rsidRPr="00C67FD7">
        <w:rPr>
          <w:rFonts w:cstheme="minorHAnsi"/>
        </w:rPr>
        <w:t>guilty to one count of possession of child pornography</w:t>
      </w:r>
      <w:r>
        <w:rPr>
          <w:rFonts w:cstheme="minorHAnsi"/>
        </w:rPr>
        <w:t xml:space="preserve">, reserving </w:t>
      </w:r>
      <w:r w:rsidR="000B7053" w:rsidRPr="00C67FD7">
        <w:rPr>
          <w:rFonts w:cstheme="minorHAnsi"/>
        </w:rPr>
        <w:t>his right to appeal the district court's denial of his motion to suppress</w:t>
      </w:r>
      <w:r w:rsidR="00472352">
        <w:rPr>
          <w:rFonts w:cstheme="minorHAnsi"/>
        </w:rPr>
        <w:t>.</w:t>
      </w:r>
      <w:r w:rsidR="000B7053" w:rsidRPr="00C67FD7">
        <w:rPr>
          <w:rFonts w:cstheme="minorHAnsi"/>
        </w:rPr>
        <w:t xml:space="preserve"> </w:t>
      </w:r>
    </w:p>
    <w:p w14:paraId="2BA6DA65" w14:textId="77777777" w:rsidR="000B7053" w:rsidRPr="00C67FD7" w:rsidRDefault="000B7053" w:rsidP="000B7053">
      <w:pPr>
        <w:rPr>
          <w:rFonts w:cstheme="minorHAnsi"/>
        </w:rPr>
      </w:pPr>
    </w:p>
    <w:p w14:paraId="18E765AD" w14:textId="1CBC245C" w:rsidR="000B7053" w:rsidRPr="00C67FD7" w:rsidRDefault="0012064E" w:rsidP="000B7053">
      <w:pPr>
        <w:rPr>
          <w:rFonts w:cstheme="minorHAnsi"/>
        </w:rPr>
      </w:pPr>
      <w:r>
        <w:rPr>
          <w:rFonts w:cstheme="minorHAnsi"/>
        </w:rPr>
        <w:t xml:space="preserve">On appeal, </w:t>
      </w:r>
      <w:r w:rsidR="000B7053" w:rsidRPr="00C67FD7">
        <w:rPr>
          <w:rFonts w:cstheme="minorHAnsi"/>
        </w:rPr>
        <w:t xml:space="preserve">the Tenth Circuit affirmed the district court's decision. The court found that the district court did not err in finding that the affidavit established probable cause and provided a sufficient basis for the search warrant. </w:t>
      </w:r>
    </w:p>
    <w:p w14:paraId="76ACDA72" w14:textId="77777777" w:rsidR="000B7053" w:rsidRPr="00C67FD7" w:rsidRDefault="000B7053" w:rsidP="001442DC">
      <w:pPr>
        <w:rPr>
          <w:rFonts w:cstheme="minorHAnsi"/>
        </w:rPr>
      </w:pPr>
    </w:p>
    <w:p w14:paraId="59DF9ABA" w14:textId="119EAA1A" w:rsidR="000B7053" w:rsidRPr="00C67FD7" w:rsidRDefault="0012064E" w:rsidP="001442DC">
      <w:pPr>
        <w:rPr>
          <w:rFonts w:cstheme="minorHAnsi"/>
        </w:rPr>
      </w:pPr>
      <w:r>
        <w:rPr>
          <w:rFonts w:cstheme="minorHAnsi"/>
        </w:rPr>
        <w:t>ELEVENTH CIRCUIT</w:t>
      </w:r>
    </w:p>
    <w:p w14:paraId="6193E079" w14:textId="77777777" w:rsidR="001442DC" w:rsidRPr="00C67FD7" w:rsidRDefault="001442DC" w:rsidP="001442DC">
      <w:pPr>
        <w:rPr>
          <w:rFonts w:cstheme="minorHAnsi"/>
        </w:rPr>
      </w:pPr>
    </w:p>
    <w:p w14:paraId="3D372389" w14:textId="77777777" w:rsidR="001442DC" w:rsidRPr="0012064E" w:rsidRDefault="001442DC" w:rsidP="001442DC">
      <w:pPr>
        <w:rPr>
          <w:rFonts w:cstheme="minorHAnsi"/>
          <w:b/>
          <w:bCs/>
        </w:rPr>
      </w:pPr>
      <w:r w:rsidRPr="0012064E">
        <w:rPr>
          <w:rFonts w:cstheme="minorHAnsi"/>
          <w:b/>
          <w:bCs/>
        </w:rPr>
        <w:t>Harris v. Hixon</w:t>
      </w:r>
    </w:p>
    <w:p w14:paraId="4B16FE00" w14:textId="2C438339" w:rsidR="001442DC" w:rsidRPr="00C67FD7" w:rsidRDefault="001442DC" w:rsidP="001442DC">
      <w:pPr>
        <w:rPr>
          <w:rFonts w:cstheme="minorHAnsi"/>
        </w:rPr>
      </w:pPr>
      <w:r w:rsidRPr="00C67FD7">
        <w:rPr>
          <w:rFonts w:cstheme="minorHAnsi"/>
        </w:rPr>
        <w:t>US Court of Appeals for the Eleventh Circuit</w:t>
      </w:r>
    </w:p>
    <w:p w14:paraId="4C1B2BFA" w14:textId="6DF26E92" w:rsidR="001442DC" w:rsidRPr="00C67FD7" w:rsidRDefault="0012064E" w:rsidP="001442DC">
      <w:pPr>
        <w:rPr>
          <w:rFonts w:cstheme="minorHAnsi"/>
        </w:rPr>
      </w:pPr>
      <w:r w:rsidRPr="0012064E">
        <w:rPr>
          <w:rFonts w:cstheme="minorHAnsi"/>
        </w:rPr>
        <w:t>May 17, 2024</w:t>
      </w:r>
    </w:p>
    <w:p w14:paraId="4972F7D4" w14:textId="77777777" w:rsidR="001442DC" w:rsidRPr="00C67FD7" w:rsidRDefault="001442DC" w:rsidP="001442DC">
      <w:pPr>
        <w:rPr>
          <w:rFonts w:cstheme="minorHAnsi"/>
        </w:rPr>
      </w:pPr>
      <w:r w:rsidRPr="00C67FD7">
        <w:rPr>
          <w:rFonts w:cstheme="minorHAnsi"/>
        </w:rPr>
        <w:t>Docket: 22-12493</w:t>
      </w:r>
    </w:p>
    <w:p w14:paraId="5A9A49F8" w14:textId="77777777" w:rsidR="001442DC" w:rsidRPr="00C67FD7" w:rsidRDefault="001442DC" w:rsidP="001442DC">
      <w:pPr>
        <w:rPr>
          <w:rFonts w:cstheme="minorHAnsi"/>
        </w:rPr>
      </w:pPr>
    </w:p>
    <w:p w14:paraId="3FB1DA59" w14:textId="04FA8C60" w:rsidR="001442DC" w:rsidRPr="0012064E" w:rsidRDefault="0012064E" w:rsidP="001442DC">
      <w:pPr>
        <w:rPr>
          <w:rFonts w:cstheme="minorHAnsi"/>
          <w:i/>
          <w:iCs/>
        </w:rPr>
      </w:pPr>
      <w:r w:rsidRPr="0012064E">
        <w:rPr>
          <w:rFonts w:cstheme="minorHAnsi"/>
          <w:i/>
          <w:iCs/>
        </w:rPr>
        <w:t>LEO LAW Topic</w:t>
      </w:r>
      <w:r>
        <w:rPr>
          <w:rFonts w:cstheme="minorHAnsi"/>
          <w:i/>
          <w:iCs/>
        </w:rPr>
        <w:t xml:space="preserve"> 1-5</w:t>
      </w:r>
      <w:r w:rsidRPr="0012064E">
        <w:rPr>
          <w:rFonts w:cstheme="minorHAnsi"/>
          <w:i/>
          <w:iCs/>
        </w:rPr>
        <w:t>:</w:t>
      </w:r>
      <w:r>
        <w:rPr>
          <w:rFonts w:cstheme="minorHAnsi"/>
          <w:i/>
          <w:iCs/>
        </w:rPr>
        <w:t xml:space="preserve"> The Investigators’ mistaken belief that the plaintiff was the person seen on security video using stolen credit cards was reasonable and, therefore, did not violate the plaintiff’s Fourth Amendment rights. </w:t>
      </w:r>
    </w:p>
    <w:p w14:paraId="251257FC" w14:textId="77777777" w:rsidR="001442DC" w:rsidRPr="00C67FD7" w:rsidRDefault="001442DC" w:rsidP="001442DC">
      <w:pPr>
        <w:rPr>
          <w:rFonts w:cstheme="minorHAnsi"/>
        </w:rPr>
      </w:pPr>
    </w:p>
    <w:p w14:paraId="4BC6153E" w14:textId="2B97FE7B" w:rsidR="001442DC" w:rsidRPr="00C67FD7" w:rsidRDefault="0012064E" w:rsidP="001442DC">
      <w:pPr>
        <w:rPr>
          <w:rFonts w:cstheme="minorHAnsi"/>
        </w:rPr>
      </w:pPr>
      <w:r w:rsidRPr="0012064E">
        <w:rPr>
          <w:rFonts w:cstheme="minorHAnsi"/>
        </w:rPr>
        <w:t>While investigating the use of a stolen debit card</w:t>
      </w:r>
      <w:r>
        <w:rPr>
          <w:rFonts w:cstheme="minorHAnsi"/>
        </w:rPr>
        <w:t xml:space="preserve"> at two gas stations and Redbox DVD rental kiosks</w:t>
      </w:r>
      <w:r w:rsidRPr="0012064E">
        <w:rPr>
          <w:rFonts w:cstheme="minorHAnsi"/>
        </w:rPr>
        <w:t xml:space="preserve">, </w:t>
      </w:r>
      <w:r>
        <w:rPr>
          <w:rFonts w:cstheme="minorHAnsi"/>
        </w:rPr>
        <w:t>Richmond County and Columbia County Georgia s</w:t>
      </w:r>
      <w:r w:rsidRPr="0012064E">
        <w:rPr>
          <w:rFonts w:cstheme="minorHAnsi"/>
        </w:rPr>
        <w:t xml:space="preserve">heriff’s </w:t>
      </w:r>
      <w:r>
        <w:rPr>
          <w:rFonts w:cstheme="minorHAnsi"/>
        </w:rPr>
        <w:t>o</w:t>
      </w:r>
      <w:r w:rsidRPr="0012064E">
        <w:rPr>
          <w:rFonts w:cstheme="minorHAnsi"/>
        </w:rPr>
        <w:t xml:space="preserve">ffice investigators Joseph Bultman and Jon Hixon reviewed security camera footage that showed a man making purchases with the stolen card. The investigators identified him as George Angel Harris, and Hixon obtained two warrants for his arrest for financial transaction card fraud. Harris was later arrested on the warrants and held in jail for a few hours </w:t>
      </w:r>
      <w:r>
        <w:rPr>
          <w:rFonts w:cstheme="minorHAnsi"/>
        </w:rPr>
        <w:t>before he was released when it was discovered Harris was not the person shown on security video recordings using the stolen cards,</w:t>
      </w:r>
      <w:r w:rsidRPr="0012064E">
        <w:rPr>
          <w:rFonts w:cstheme="minorHAnsi"/>
        </w:rPr>
        <w:t xml:space="preserve"> and the criminal case against him was dismissed.</w:t>
      </w:r>
    </w:p>
    <w:p w14:paraId="0929DC4B" w14:textId="77777777" w:rsidR="001442DC" w:rsidRPr="00C67FD7" w:rsidRDefault="001442DC" w:rsidP="001442DC">
      <w:pPr>
        <w:rPr>
          <w:rFonts w:cstheme="minorHAnsi"/>
        </w:rPr>
      </w:pPr>
    </w:p>
    <w:p w14:paraId="25F4EAE3" w14:textId="4B85BD1C" w:rsidR="001442DC" w:rsidRPr="00C67FD7" w:rsidRDefault="001442DC" w:rsidP="001442DC">
      <w:pPr>
        <w:rPr>
          <w:rFonts w:cstheme="minorHAnsi"/>
        </w:rPr>
      </w:pPr>
      <w:r w:rsidRPr="00C67FD7">
        <w:rPr>
          <w:rFonts w:cstheme="minorHAnsi"/>
        </w:rPr>
        <w:t xml:space="preserve">Harris filed a lawsuit against the investigators under 42 U.S.C. § 1983, alleging they violated his </w:t>
      </w:r>
      <w:r w:rsidR="0012064E" w:rsidRPr="0012064E">
        <w:rPr>
          <w:rFonts w:cstheme="minorHAnsi"/>
        </w:rPr>
        <w:t>Fourth Amendment rights because Bultman’s and Hixon’s investigation to determine whether he was the Redbox suspect using the stolen debit card was inadequate</w:t>
      </w:r>
      <w:r w:rsidR="0012064E">
        <w:rPr>
          <w:rFonts w:cstheme="minorHAnsi"/>
        </w:rPr>
        <w:t xml:space="preserve">, </w:t>
      </w:r>
      <w:r w:rsidRPr="00C67FD7">
        <w:rPr>
          <w:rFonts w:cstheme="minorHAnsi"/>
        </w:rPr>
        <w:t>causing him to be falsely arrested and unlawfully detained without probable cause. The district court construed Harris' claims as ones for malicious prosecution and granted summary judgment in favor of the investigators on qualified immunity grounds.</w:t>
      </w:r>
    </w:p>
    <w:p w14:paraId="3FE3BE70" w14:textId="77777777" w:rsidR="001442DC" w:rsidRPr="00C67FD7" w:rsidRDefault="001442DC" w:rsidP="001442DC">
      <w:pPr>
        <w:rPr>
          <w:rFonts w:cstheme="minorHAnsi"/>
        </w:rPr>
      </w:pPr>
    </w:p>
    <w:p w14:paraId="619CA584" w14:textId="182FB60D" w:rsidR="001442DC" w:rsidRPr="00C67FD7" w:rsidRDefault="0012064E" w:rsidP="001442DC">
      <w:pPr>
        <w:rPr>
          <w:rFonts w:cstheme="minorHAnsi"/>
        </w:rPr>
      </w:pPr>
      <w:r>
        <w:rPr>
          <w:rFonts w:cstheme="minorHAnsi"/>
        </w:rPr>
        <w:t>On appeal, t</w:t>
      </w:r>
      <w:r w:rsidR="001442DC" w:rsidRPr="00C67FD7">
        <w:rPr>
          <w:rFonts w:cstheme="minorHAnsi"/>
        </w:rPr>
        <w:t xml:space="preserve">he </w:t>
      </w:r>
      <w:r>
        <w:rPr>
          <w:rFonts w:cstheme="minorHAnsi"/>
        </w:rPr>
        <w:t>Eleventh Circuit</w:t>
      </w:r>
      <w:r w:rsidR="001442DC" w:rsidRPr="00C67FD7">
        <w:rPr>
          <w:rFonts w:cstheme="minorHAnsi"/>
        </w:rPr>
        <w:t xml:space="preserve"> affirmed the district court's decision. It held that the investigators' mistaken identification of Harris was a reasonable mistake and did not violate Harris' Fourth Amendment rights.</w:t>
      </w:r>
    </w:p>
    <w:p w14:paraId="4A81C381" w14:textId="77777777" w:rsidR="001442DC" w:rsidRPr="00C67FD7" w:rsidRDefault="001442DC" w:rsidP="001442DC">
      <w:pPr>
        <w:rPr>
          <w:rFonts w:cstheme="minorHAnsi"/>
        </w:rPr>
      </w:pPr>
    </w:p>
    <w:p w14:paraId="6F65DC23" w14:textId="77777777" w:rsidR="0012064E" w:rsidRDefault="0012064E" w:rsidP="001442DC">
      <w:pPr>
        <w:rPr>
          <w:rFonts w:cstheme="minorHAnsi"/>
        </w:rPr>
      </w:pPr>
    </w:p>
    <w:p w14:paraId="072C5491" w14:textId="63FCAC2B" w:rsidR="001442DC" w:rsidRPr="00C67FD7" w:rsidRDefault="0012064E" w:rsidP="001442DC">
      <w:pPr>
        <w:rPr>
          <w:rFonts w:cstheme="minorHAnsi"/>
        </w:rPr>
      </w:pPr>
      <w:r>
        <w:rPr>
          <w:rFonts w:cstheme="minorHAnsi"/>
        </w:rPr>
        <w:t>STATE CASES OF INTEREST</w:t>
      </w:r>
    </w:p>
    <w:p w14:paraId="195623E1" w14:textId="77777777" w:rsidR="001442DC" w:rsidRDefault="001442DC" w:rsidP="001442DC">
      <w:pPr>
        <w:rPr>
          <w:rFonts w:cstheme="minorHAnsi"/>
        </w:rPr>
      </w:pPr>
    </w:p>
    <w:p w14:paraId="73F4707E" w14:textId="41B53329" w:rsidR="0012064E" w:rsidRDefault="0012064E" w:rsidP="001442DC">
      <w:pPr>
        <w:rPr>
          <w:rFonts w:cstheme="minorHAnsi"/>
        </w:rPr>
      </w:pPr>
      <w:r>
        <w:rPr>
          <w:rFonts w:cstheme="minorHAnsi"/>
        </w:rPr>
        <w:t>FLORIDA</w:t>
      </w:r>
    </w:p>
    <w:p w14:paraId="2BF1C304" w14:textId="77777777" w:rsidR="0012064E" w:rsidRPr="00C67FD7" w:rsidRDefault="0012064E" w:rsidP="001442DC">
      <w:pPr>
        <w:rPr>
          <w:rFonts w:cstheme="minorHAnsi"/>
        </w:rPr>
      </w:pPr>
    </w:p>
    <w:p w14:paraId="327A755F" w14:textId="77777777" w:rsidR="001442DC" w:rsidRPr="0012064E" w:rsidRDefault="001442DC" w:rsidP="001442DC">
      <w:pPr>
        <w:rPr>
          <w:rFonts w:cstheme="minorHAnsi"/>
          <w:b/>
          <w:bCs/>
        </w:rPr>
      </w:pPr>
      <w:r w:rsidRPr="0012064E">
        <w:rPr>
          <w:rFonts w:cstheme="minorHAnsi"/>
          <w:b/>
          <w:bCs/>
        </w:rPr>
        <w:t>State of Florida v. Creller</w:t>
      </w:r>
    </w:p>
    <w:p w14:paraId="4EA52A67" w14:textId="0E6827A5" w:rsidR="001442DC" w:rsidRPr="00C67FD7" w:rsidRDefault="001442DC" w:rsidP="001442DC">
      <w:pPr>
        <w:rPr>
          <w:rFonts w:cstheme="minorHAnsi"/>
        </w:rPr>
      </w:pPr>
      <w:r w:rsidRPr="00C67FD7">
        <w:rPr>
          <w:rFonts w:cstheme="minorHAnsi"/>
        </w:rPr>
        <w:t>Florida Supreme Court</w:t>
      </w:r>
    </w:p>
    <w:p w14:paraId="57D91413" w14:textId="4CC5AA67" w:rsidR="001442DC" w:rsidRPr="00C67FD7" w:rsidRDefault="001442DC" w:rsidP="001442DC">
      <w:pPr>
        <w:rPr>
          <w:rFonts w:cstheme="minorHAnsi"/>
        </w:rPr>
      </w:pPr>
      <w:r w:rsidRPr="00C67FD7">
        <w:rPr>
          <w:rFonts w:cstheme="minorHAnsi"/>
        </w:rPr>
        <w:t>May 23, 2024</w:t>
      </w:r>
    </w:p>
    <w:p w14:paraId="3DE3EECD" w14:textId="77777777" w:rsidR="001442DC" w:rsidRPr="00C67FD7" w:rsidRDefault="001442DC" w:rsidP="001442DC">
      <w:pPr>
        <w:rPr>
          <w:rFonts w:cstheme="minorHAnsi"/>
        </w:rPr>
      </w:pPr>
    </w:p>
    <w:p w14:paraId="0D6647E5" w14:textId="01A1F22B" w:rsidR="001442DC" w:rsidRPr="0012064E" w:rsidRDefault="0012064E" w:rsidP="001442DC">
      <w:pPr>
        <w:rPr>
          <w:rFonts w:cstheme="minorHAnsi"/>
          <w:i/>
          <w:iCs/>
        </w:rPr>
      </w:pPr>
      <w:r w:rsidRPr="0012064E">
        <w:rPr>
          <w:rFonts w:cstheme="minorHAnsi"/>
          <w:i/>
          <w:iCs/>
        </w:rPr>
        <w:lastRenderedPageBreak/>
        <w:t xml:space="preserve">LEO LAW Topic 10-4: </w:t>
      </w:r>
      <w:r>
        <w:rPr>
          <w:rFonts w:cstheme="minorHAnsi"/>
          <w:i/>
          <w:iCs/>
        </w:rPr>
        <w:t>The arrest of a driver for refusing to exit his vehicle when ordered to do so by a K9 officer during a traffic stop did not violate the Fourth Amendment.</w:t>
      </w:r>
    </w:p>
    <w:p w14:paraId="27E0E493" w14:textId="77777777" w:rsidR="001442DC" w:rsidRPr="00C67FD7" w:rsidRDefault="001442DC" w:rsidP="001442DC">
      <w:pPr>
        <w:rPr>
          <w:rFonts w:cstheme="minorHAnsi"/>
        </w:rPr>
      </w:pPr>
    </w:p>
    <w:p w14:paraId="79ADA0B5" w14:textId="38804DAC" w:rsidR="001442DC" w:rsidRDefault="0012064E" w:rsidP="001442DC">
      <w:pPr>
        <w:rPr>
          <w:rFonts w:cstheme="minorHAnsi"/>
        </w:rPr>
      </w:pPr>
      <w:r w:rsidRPr="0012064E">
        <w:rPr>
          <w:rFonts w:cstheme="minorHAnsi"/>
        </w:rPr>
        <w:t>During a traffic stop</w:t>
      </w:r>
      <w:r>
        <w:rPr>
          <w:rFonts w:cstheme="minorHAnsi"/>
        </w:rPr>
        <w:t>, Joshua</w:t>
      </w:r>
      <w:r w:rsidRPr="0012064E">
        <w:rPr>
          <w:rFonts w:cstheme="minorHAnsi"/>
        </w:rPr>
        <w:t xml:space="preserve"> Creller refused to comply with a K-9 officer’s command to exit his vehicle. </w:t>
      </w:r>
      <w:r>
        <w:rPr>
          <w:rFonts w:cstheme="minorHAnsi"/>
        </w:rPr>
        <w:t xml:space="preserve">He was forcibly removed from his vehicle and arrested for resisting without violence under Florida law. During the search incident to arrest, </w:t>
      </w:r>
      <w:r w:rsidRPr="0012064E">
        <w:rPr>
          <w:rFonts w:cstheme="minorHAnsi"/>
        </w:rPr>
        <w:t xml:space="preserve">methamphetamine was found on his person. </w:t>
      </w:r>
      <w:r>
        <w:rPr>
          <w:rFonts w:cstheme="minorHAnsi"/>
        </w:rPr>
        <w:t xml:space="preserve">Creller </w:t>
      </w:r>
      <w:r w:rsidR="001442DC" w:rsidRPr="00C67FD7">
        <w:rPr>
          <w:rFonts w:cstheme="minorHAnsi"/>
        </w:rPr>
        <w:t>was charged with resisting an officer without violence and possession of a controlled substance</w:t>
      </w:r>
      <w:r>
        <w:rPr>
          <w:rFonts w:cstheme="minorHAnsi"/>
        </w:rPr>
        <w:t xml:space="preserve">.  </w:t>
      </w:r>
    </w:p>
    <w:p w14:paraId="36E3D429" w14:textId="77777777" w:rsidR="0012064E" w:rsidRDefault="0012064E" w:rsidP="001442DC">
      <w:pPr>
        <w:rPr>
          <w:rFonts w:cstheme="minorHAnsi"/>
        </w:rPr>
      </w:pPr>
    </w:p>
    <w:p w14:paraId="05EB4A84" w14:textId="6B7CCAB1" w:rsidR="001442DC" w:rsidRPr="00C67FD7" w:rsidRDefault="0012064E" w:rsidP="001442DC">
      <w:pPr>
        <w:rPr>
          <w:rFonts w:cstheme="minorHAnsi"/>
        </w:rPr>
      </w:pPr>
      <w:r>
        <w:rPr>
          <w:rFonts w:cstheme="minorHAnsi"/>
        </w:rPr>
        <w:t xml:space="preserve">At trial, </w:t>
      </w:r>
      <w:r w:rsidRPr="0012064E">
        <w:rPr>
          <w:rFonts w:cstheme="minorHAnsi"/>
        </w:rPr>
        <w:t>Creller moved to suppress the evidence</w:t>
      </w:r>
      <w:r>
        <w:rPr>
          <w:rFonts w:cstheme="minorHAnsi"/>
        </w:rPr>
        <w:t>,</w:t>
      </w:r>
      <w:r w:rsidRPr="0012064E">
        <w:rPr>
          <w:rFonts w:cstheme="minorHAnsi"/>
        </w:rPr>
        <w:t xml:space="preserve"> </w:t>
      </w:r>
      <w:r>
        <w:rPr>
          <w:rFonts w:cstheme="minorHAnsi"/>
        </w:rPr>
        <w:t xml:space="preserve">arguing the K9 officer could not lawfully order him to get out of the vehicle during a traffic stop. </w:t>
      </w:r>
      <w:r w:rsidR="001442DC" w:rsidRPr="00C67FD7">
        <w:rPr>
          <w:rFonts w:cstheme="minorHAnsi"/>
        </w:rPr>
        <w:t>The trial court denied Creller’s motion to suppress, conclud</w:t>
      </w:r>
      <w:r>
        <w:rPr>
          <w:rFonts w:cstheme="minorHAnsi"/>
        </w:rPr>
        <w:t>ing</w:t>
      </w:r>
      <w:r w:rsidR="001442DC" w:rsidRPr="00C67FD7">
        <w:rPr>
          <w:rFonts w:cstheme="minorHAnsi"/>
        </w:rPr>
        <w:t xml:space="preserve"> that the officer's request for Creller to exit the vehicle was for officer safety and did not violate the Fourth Amendment’s prohibition of unreasonable searches and seizures. Creller was subsequently convicted by a jury. However, the </w:t>
      </w:r>
      <w:r>
        <w:rPr>
          <w:rFonts w:cstheme="minorHAnsi"/>
        </w:rPr>
        <w:t xml:space="preserve">Florida </w:t>
      </w:r>
      <w:r w:rsidR="001442DC" w:rsidRPr="00C67FD7">
        <w:rPr>
          <w:rFonts w:cstheme="minorHAnsi"/>
        </w:rPr>
        <w:t xml:space="preserve">Second District Court of Appeal reversed the conviction, holding that Creller was unlawfully seized in violation of the Fourth Amendment when the initial traffic stop transformed into a narcotics investigation for which no prior probable cause existed. The court certified conflict with the </w:t>
      </w:r>
      <w:r>
        <w:rPr>
          <w:rFonts w:cstheme="minorHAnsi"/>
        </w:rPr>
        <w:t xml:space="preserve">Florida </w:t>
      </w:r>
      <w:r w:rsidR="001442DC" w:rsidRPr="00C67FD7">
        <w:rPr>
          <w:rFonts w:cstheme="minorHAnsi"/>
        </w:rPr>
        <w:t xml:space="preserve">Fifth District Court of Appeal in </w:t>
      </w:r>
      <w:r w:rsidR="001442DC" w:rsidRPr="0012064E">
        <w:rPr>
          <w:rFonts w:cstheme="minorHAnsi"/>
          <w:i/>
          <w:iCs/>
        </w:rPr>
        <w:t>State v. Benjamin</w:t>
      </w:r>
      <w:r w:rsidR="001442DC" w:rsidRPr="00C67FD7">
        <w:rPr>
          <w:rFonts w:cstheme="minorHAnsi"/>
        </w:rPr>
        <w:t>, which reached the opposite conclusion.</w:t>
      </w:r>
    </w:p>
    <w:p w14:paraId="2E965E41" w14:textId="77777777" w:rsidR="001442DC" w:rsidRPr="00C67FD7" w:rsidRDefault="001442DC" w:rsidP="001442DC">
      <w:pPr>
        <w:rPr>
          <w:rFonts w:cstheme="minorHAnsi"/>
        </w:rPr>
      </w:pPr>
    </w:p>
    <w:p w14:paraId="7A129537" w14:textId="59AAB535" w:rsidR="001442DC" w:rsidRPr="00C67FD7" w:rsidRDefault="001442DC" w:rsidP="001442DC">
      <w:pPr>
        <w:rPr>
          <w:rFonts w:cstheme="minorHAnsi"/>
        </w:rPr>
      </w:pPr>
      <w:r w:rsidRPr="00C67FD7">
        <w:rPr>
          <w:rFonts w:cstheme="minorHAnsi"/>
        </w:rPr>
        <w:t xml:space="preserve">The Supreme Court of Florida disagreed with the Second District Court of Appeal's interpretation. The court held that the Fourth Amendment allows a K-9 officer to order a driver to exit a vehicle during a lawful traffic stop for officer safety reasons. The court concluded that the K-9 officer's command to Creller to exit the vehicle was reasonable and did not transform the traffic stop into a narcotics investigation. Therefore, the court quashed the decision of the Second District Court of Appeal and approved the decision of the Fifth District Court of Appeal in </w:t>
      </w:r>
      <w:r w:rsidRPr="0012064E">
        <w:rPr>
          <w:rFonts w:cstheme="minorHAnsi"/>
          <w:i/>
          <w:iCs/>
        </w:rPr>
        <w:t>State v. Benjamin</w:t>
      </w:r>
      <w:r w:rsidRPr="00C67FD7">
        <w:rPr>
          <w:rFonts w:cstheme="minorHAnsi"/>
        </w:rPr>
        <w:t>.</w:t>
      </w:r>
    </w:p>
    <w:p w14:paraId="060C70FC" w14:textId="77777777" w:rsidR="001442DC" w:rsidRDefault="001442DC" w:rsidP="001442DC">
      <w:pPr>
        <w:rPr>
          <w:rFonts w:cstheme="minorHAnsi"/>
        </w:rPr>
      </w:pPr>
    </w:p>
    <w:p w14:paraId="3124BB17" w14:textId="6C83C355" w:rsidR="00472352" w:rsidRDefault="00472352" w:rsidP="001442DC">
      <w:pPr>
        <w:rPr>
          <w:rFonts w:cstheme="minorHAnsi"/>
        </w:rPr>
      </w:pPr>
      <w:r>
        <w:rPr>
          <w:rFonts w:cstheme="minorHAnsi"/>
        </w:rPr>
        <w:t>MAINE</w:t>
      </w:r>
    </w:p>
    <w:p w14:paraId="10EC2458" w14:textId="77777777" w:rsidR="00472352" w:rsidRPr="00C67FD7" w:rsidRDefault="00472352" w:rsidP="001442DC">
      <w:pPr>
        <w:rPr>
          <w:rFonts w:cstheme="minorHAnsi"/>
        </w:rPr>
      </w:pPr>
    </w:p>
    <w:p w14:paraId="6AF65467" w14:textId="77777777" w:rsidR="00E87520" w:rsidRPr="00472352" w:rsidRDefault="00E87520" w:rsidP="00E87520">
      <w:pPr>
        <w:rPr>
          <w:rFonts w:cstheme="minorHAnsi"/>
          <w:b/>
          <w:bCs/>
        </w:rPr>
      </w:pPr>
      <w:r w:rsidRPr="00472352">
        <w:rPr>
          <w:rFonts w:cstheme="minorHAnsi"/>
          <w:b/>
          <w:bCs/>
        </w:rPr>
        <w:t>State of Maine v. Lovejoy</w:t>
      </w:r>
    </w:p>
    <w:p w14:paraId="2B852461" w14:textId="69B83E24" w:rsidR="00E87520" w:rsidRPr="00C67FD7" w:rsidRDefault="00E87520" w:rsidP="00E87520">
      <w:pPr>
        <w:rPr>
          <w:rFonts w:cstheme="minorHAnsi"/>
        </w:rPr>
      </w:pPr>
      <w:r w:rsidRPr="00C67FD7">
        <w:rPr>
          <w:rFonts w:cstheme="minorHAnsi"/>
        </w:rPr>
        <w:t>Maine Supreme Judicial Court</w:t>
      </w:r>
    </w:p>
    <w:p w14:paraId="2A1832FE" w14:textId="63FB4B43" w:rsidR="00E87520" w:rsidRPr="00C67FD7" w:rsidRDefault="00E87520" w:rsidP="00E87520">
      <w:pPr>
        <w:rPr>
          <w:rFonts w:cstheme="minorHAnsi"/>
        </w:rPr>
      </w:pPr>
      <w:r w:rsidRPr="00C67FD7">
        <w:rPr>
          <w:rFonts w:cstheme="minorHAnsi"/>
        </w:rPr>
        <w:t>May 23, 2024</w:t>
      </w:r>
    </w:p>
    <w:p w14:paraId="7D6902F3" w14:textId="77777777" w:rsidR="00E87520" w:rsidRPr="00C67FD7" w:rsidRDefault="00E87520" w:rsidP="00E87520">
      <w:pPr>
        <w:rPr>
          <w:rFonts w:cstheme="minorHAnsi"/>
        </w:rPr>
      </w:pPr>
    </w:p>
    <w:p w14:paraId="5D97699A" w14:textId="747926A8" w:rsidR="00E87520" w:rsidRPr="00472352" w:rsidRDefault="0012064E" w:rsidP="00E87520">
      <w:pPr>
        <w:rPr>
          <w:rFonts w:cstheme="minorHAnsi"/>
          <w:i/>
          <w:iCs/>
        </w:rPr>
      </w:pPr>
      <w:r w:rsidRPr="00472352">
        <w:rPr>
          <w:rFonts w:cstheme="minorHAnsi"/>
          <w:i/>
          <w:iCs/>
        </w:rPr>
        <w:t xml:space="preserve">LEO LAW Topics </w:t>
      </w:r>
      <w:r w:rsidR="00472352" w:rsidRPr="00472352">
        <w:rPr>
          <w:rFonts w:cstheme="minorHAnsi"/>
          <w:i/>
          <w:iCs/>
        </w:rPr>
        <w:t>5-10, 10-2</w:t>
      </w:r>
      <w:r w:rsidRPr="00472352">
        <w:rPr>
          <w:rFonts w:cstheme="minorHAnsi"/>
          <w:i/>
          <w:iCs/>
        </w:rPr>
        <w:t>:</w:t>
      </w:r>
      <w:r w:rsidR="00472352" w:rsidRPr="00472352">
        <w:rPr>
          <w:rFonts w:cstheme="minorHAnsi"/>
          <w:i/>
          <w:iCs/>
        </w:rPr>
        <w:t xml:space="preserve"> The traffic stop was valid at its inception, so the plain view discovery of the evidence was lawful. The officer’s entry into the dwelling because of unattended children was lawful under the Emergency Aid Exception.</w:t>
      </w:r>
    </w:p>
    <w:p w14:paraId="14BB27C4" w14:textId="77777777" w:rsidR="00E87520" w:rsidRPr="00C67FD7" w:rsidRDefault="00E87520" w:rsidP="00E87520">
      <w:pPr>
        <w:rPr>
          <w:rFonts w:cstheme="minorHAnsi"/>
        </w:rPr>
      </w:pPr>
    </w:p>
    <w:p w14:paraId="21F949C2" w14:textId="60236D84" w:rsidR="00472352" w:rsidRDefault="00472352" w:rsidP="00472352">
      <w:pPr>
        <w:rPr>
          <w:rFonts w:cstheme="minorHAnsi"/>
        </w:rPr>
      </w:pPr>
      <w:r>
        <w:rPr>
          <w:rFonts w:cstheme="minorHAnsi"/>
        </w:rPr>
        <w:t xml:space="preserve">Officers at the Waterville, Maine  Police Department were contacted by a friend of the wife of </w:t>
      </w:r>
      <w:r w:rsidR="00E87520" w:rsidRPr="00C67FD7">
        <w:rPr>
          <w:rFonts w:cstheme="minorHAnsi"/>
        </w:rPr>
        <w:t>Nicholas</w:t>
      </w:r>
      <w:r>
        <w:rPr>
          <w:rFonts w:cstheme="minorHAnsi"/>
        </w:rPr>
        <w:t xml:space="preserve"> L</w:t>
      </w:r>
      <w:r w:rsidR="00E87520" w:rsidRPr="00C67FD7">
        <w:rPr>
          <w:rFonts w:cstheme="minorHAnsi"/>
        </w:rPr>
        <w:t xml:space="preserve">ovejoy, </w:t>
      </w:r>
      <w:r>
        <w:rPr>
          <w:rFonts w:cstheme="minorHAnsi"/>
        </w:rPr>
        <w:t xml:space="preserve">who reported she was concerned that hadn’t heard from the wife all day, which was unusual. Furthermore, there was a history of domestic violence between Lovejoy and his wife. Officers went to the house and it appeared no one was there. When two more friends called with their concerns, officers went back to the house </w:t>
      </w:r>
      <w:r w:rsidRPr="00472352">
        <w:rPr>
          <w:rFonts w:cstheme="minorHAnsi"/>
        </w:rPr>
        <w:t>and observed lights on inside the residence and the victim’s car parked</w:t>
      </w:r>
      <w:r>
        <w:rPr>
          <w:rFonts w:cstheme="minorHAnsi"/>
        </w:rPr>
        <w:t xml:space="preserve"> </w:t>
      </w:r>
      <w:r w:rsidRPr="00472352">
        <w:rPr>
          <w:rFonts w:cstheme="minorHAnsi"/>
        </w:rPr>
        <w:t>in the driveway.</w:t>
      </w:r>
      <w:r>
        <w:rPr>
          <w:rFonts w:cstheme="minorHAnsi"/>
        </w:rPr>
        <w:t xml:space="preserve"> Lovejoy answered the door and said he did not know where his wife had gone and the children were asleep inside. He refused consent for the officers to enter. Officers surveilled the residence and when Lovejoy got into his wife’s car and drove away, an officer conducted a traffic stop for a burnt-out license plate light. During the traffic stop, officers observed a loaded shotgun in the front seat and arrested Lovejoy for having a loaded firearm in a vehicle. Officers then entered the home because the children were there unattended. In the house, they discovered evidence that Lovejoy had murdered his wife.</w:t>
      </w:r>
    </w:p>
    <w:p w14:paraId="5E2F424C" w14:textId="77777777" w:rsidR="00472352" w:rsidRDefault="00472352" w:rsidP="00E87520">
      <w:pPr>
        <w:rPr>
          <w:rFonts w:cstheme="minorHAnsi"/>
        </w:rPr>
      </w:pPr>
    </w:p>
    <w:p w14:paraId="250D9791" w14:textId="34973117" w:rsidR="00472352" w:rsidRDefault="00472352" w:rsidP="00E87520">
      <w:pPr>
        <w:rPr>
          <w:rFonts w:cstheme="minorHAnsi"/>
        </w:rPr>
      </w:pPr>
      <w:r w:rsidRPr="00472352">
        <w:rPr>
          <w:rFonts w:cstheme="minorHAnsi"/>
        </w:rPr>
        <w:lastRenderedPageBreak/>
        <w:t xml:space="preserve">Lovejoy </w:t>
      </w:r>
      <w:r>
        <w:rPr>
          <w:rFonts w:cstheme="minorHAnsi"/>
        </w:rPr>
        <w:t>was charged with the murder of his wife. At trial, he sought to suppress the evidence that was found as a result of the traffic stop and the warrantless entry into his house.</w:t>
      </w:r>
      <w:r w:rsidRPr="00472352">
        <w:rPr>
          <w:rFonts w:cstheme="minorHAnsi"/>
        </w:rPr>
        <w:t xml:space="preserve"> The court denied his motion to suppress evidence obtained from the traffic stop and the search of his home. Lovejoy was subsequently convicted and sentenced to forty-two years of incarceration.</w:t>
      </w:r>
    </w:p>
    <w:p w14:paraId="60D76C32" w14:textId="77777777" w:rsidR="00472352" w:rsidRDefault="00472352" w:rsidP="00E87520">
      <w:pPr>
        <w:rPr>
          <w:rFonts w:cstheme="minorHAnsi"/>
        </w:rPr>
      </w:pPr>
    </w:p>
    <w:p w14:paraId="57EC3EA4" w14:textId="4935283C" w:rsidR="00E87520" w:rsidRPr="00C67FD7" w:rsidRDefault="00E87520" w:rsidP="00E87520">
      <w:pPr>
        <w:rPr>
          <w:rFonts w:cstheme="minorHAnsi"/>
        </w:rPr>
      </w:pPr>
      <w:r w:rsidRPr="00C67FD7">
        <w:rPr>
          <w:rFonts w:cstheme="minorHAnsi"/>
        </w:rPr>
        <w:t xml:space="preserve">Lovejoy appealed his conviction, arguing that the court erred in denying his motion to suppress evidence obtained from an allegedly unlawful traffic stop and a subsequent warrantless search of his home. </w:t>
      </w:r>
      <w:r w:rsidR="00472352">
        <w:rPr>
          <w:rFonts w:cstheme="minorHAnsi"/>
        </w:rPr>
        <w:t>T</w:t>
      </w:r>
      <w:r w:rsidRPr="00C67FD7">
        <w:rPr>
          <w:rFonts w:cstheme="minorHAnsi"/>
        </w:rPr>
        <w:t>he Maine Supreme Judicial Court</w:t>
      </w:r>
      <w:r w:rsidR="00472352">
        <w:rPr>
          <w:rFonts w:cstheme="minorHAnsi"/>
        </w:rPr>
        <w:t xml:space="preserve"> </w:t>
      </w:r>
      <w:r w:rsidRPr="00C67FD7">
        <w:rPr>
          <w:rFonts w:cstheme="minorHAnsi"/>
        </w:rPr>
        <w:t>found that the traffic stop was supported by reasonable, articulable suspicion and that the warrantless search of his home was a reasonable response to what law enforcement knew at the time to be an exigent circumstance</w:t>
      </w:r>
      <w:r w:rsidR="00472352">
        <w:rPr>
          <w:rFonts w:cstheme="minorHAnsi"/>
        </w:rPr>
        <w:t xml:space="preserve"> because the children were in the home unattended</w:t>
      </w:r>
      <w:r w:rsidRPr="00C67FD7">
        <w:rPr>
          <w:rFonts w:cstheme="minorHAnsi"/>
        </w:rPr>
        <w:t xml:space="preserve">. </w:t>
      </w:r>
      <w:r w:rsidR="00472352">
        <w:rPr>
          <w:rFonts w:cstheme="minorHAnsi"/>
        </w:rPr>
        <w:t xml:space="preserve">Accordingly, </w:t>
      </w:r>
      <w:r w:rsidRPr="00C67FD7">
        <w:rPr>
          <w:rFonts w:cstheme="minorHAnsi"/>
        </w:rPr>
        <w:t>the court affirmed the lower court's decision.</w:t>
      </w:r>
    </w:p>
    <w:p w14:paraId="3E844F3C" w14:textId="77777777" w:rsidR="00E87520" w:rsidRPr="00C67FD7" w:rsidRDefault="00E87520" w:rsidP="001442DC">
      <w:pPr>
        <w:rPr>
          <w:rFonts w:cstheme="minorHAnsi"/>
        </w:rPr>
      </w:pPr>
    </w:p>
    <w:p w14:paraId="665B7390" w14:textId="34CC0643" w:rsidR="00E87520" w:rsidRPr="00C67FD7" w:rsidRDefault="0012064E" w:rsidP="001442DC">
      <w:pPr>
        <w:rPr>
          <w:rFonts w:cstheme="minorHAnsi"/>
        </w:rPr>
      </w:pPr>
      <w:r>
        <w:rPr>
          <w:rFonts w:cstheme="minorHAnsi"/>
        </w:rPr>
        <w:t>MASSACHUSETTS</w:t>
      </w:r>
    </w:p>
    <w:p w14:paraId="46EF6D8A" w14:textId="77777777" w:rsidR="00E87520" w:rsidRPr="00C67FD7" w:rsidRDefault="00E87520" w:rsidP="001442DC">
      <w:pPr>
        <w:rPr>
          <w:rFonts w:cstheme="minorHAnsi"/>
        </w:rPr>
      </w:pPr>
    </w:p>
    <w:p w14:paraId="6F31C0DC" w14:textId="77777777" w:rsidR="001442DC" w:rsidRPr="0012064E" w:rsidRDefault="001442DC" w:rsidP="001442DC">
      <w:pPr>
        <w:rPr>
          <w:rFonts w:cstheme="minorHAnsi"/>
          <w:b/>
          <w:bCs/>
        </w:rPr>
      </w:pPr>
      <w:r w:rsidRPr="0012064E">
        <w:rPr>
          <w:rFonts w:cstheme="minorHAnsi"/>
          <w:b/>
          <w:bCs/>
        </w:rPr>
        <w:t>Commonwealth v. Lepage</w:t>
      </w:r>
    </w:p>
    <w:p w14:paraId="13597859" w14:textId="3CD3B798" w:rsidR="001442DC" w:rsidRPr="00C67FD7" w:rsidRDefault="001442DC" w:rsidP="001442DC">
      <w:pPr>
        <w:rPr>
          <w:rFonts w:cstheme="minorHAnsi"/>
        </w:rPr>
      </w:pPr>
      <w:r w:rsidRPr="00C67FD7">
        <w:rPr>
          <w:rFonts w:cstheme="minorHAnsi"/>
        </w:rPr>
        <w:t>Massachusetts Supreme Judicial Court</w:t>
      </w:r>
    </w:p>
    <w:p w14:paraId="727D16FB" w14:textId="04E42D6E" w:rsidR="001442DC" w:rsidRPr="00C67FD7" w:rsidRDefault="001442DC" w:rsidP="001442DC">
      <w:pPr>
        <w:rPr>
          <w:rFonts w:cstheme="minorHAnsi"/>
        </w:rPr>
      </w:pPr>
      <w:r w:rsidRPr="00C67FD7">
        <w:rPr>
          <w:rFonts w:cstheme="minorHAnsi"/>
        </w:rPr>
        <w:t>May 17, 2024</w:t>
      </w:r>
    </w:p>
    <w:p w14:paraId="43E79983" w14:textId="77777777" w:rsidR="001442DC" w:rsidRPr="00C67FD7" w:rsidRDefault="001442DC" w:rsidP="001442DC">
      <w:pPr>
        <w:rPr>
          <w:rFonts w:cstheme="minorHAnsi"/>
        </w:rPr>
      </w:pPr>
    </w:p>
    <w:p w14:paraId="5BCA9B3F" w14:textId="2E0891D3" w:rsidR="001442DC" w:rsidRPr="0012064E" w:rsidRDefault="0012064E" w:rsidP="001442DC">
      <w:pPr>
        <w:rPr>
          <w:rFonts w:cstheme="minorHAnsi"/>
          <w:i/>
          <w:iCs/>
        </w:rPr>
      </w:pPr>
      <w:r w:rsidRPr="0012064E">
        <w:rPr>
          <w:rFonts w:cstheme="minorHAnsi"/>
          <w:i/>
          <w:iCs/>
        </w:rPr>
        <w:t>LEO LAW Topic</w:t>
      </w:r>
      <w:r>
        <w:rPr>
          <w:rFonts w:cstheme="minorHAnsi"/>
          <w:i/>
          <w:iCs/>
        </w:rPr>
        <w:t xml:space="preserve"> 2-8</w:t>
      </w:r>
      <w:r w:rsidRPr="0012064E">
        <w:rPr>
          <w:rFonts w:cstheme="minorHAnsi"/>
          <w:i/>
          <w:iCs/>
        </w:rPr>
        <w:t xml:space="preserve">: </w:t>
      </w:r>
      <w:r>
        <w:rPr>
          <w:rFonts w:cstheme="minorHAnsi"/>
          <w:i/>
          <w:iCs/>
        </w:rPr>
        <w:t>U</w:t>
      </w:r>
      <w:r w:rsidRPr="0012064E">
        <w:rPr>
          <w:rFonts w:cstheme="minorHAnsi"/>
          <w:i/>
          <w:iCs/>
        </w:rPr>
        <w:t>nder the Third-Party Doctrine</w:t>
      </w:r>
      <w:r>
        <w:rPr>
          <w:rFonts w:cstheme="minorHAnsi"/>
          <w:i/>
          <w:iCs/>
        </w:rPr>
        <w:t>, the defendant did not have a reasonable expectation of privacy in his cellphone call logs.</w:t>
      </w:r>
      <w:r w:rsidRPr="0012064E">
        <w:rPr>
          <w:rFonts w:cstheme="minorHAnsi"/>
          <w:i/>
          <w:iCs/>
        </w:rPr>
        <w:t xml:space="preserve">    </w:t>
      </w:r>
    </w:p>
    <w:p w14:paraId="06B297B5" w14:textId="77777777" w:rsidR="001442DC" w:rsidRPr="00C67FD7" w:rsidRDefault="001442DC" w:rsidP="001442DC">
      <w:pPr>
        <w:rPr>
          <w:rFonts w:cstheme="minorHAnsi"/>
        </w:rPr>
      </w:pPr>
    </w:p>
    <w:p w14:paraId="1E1FB4DD" w14:textId="77777777" w:rsidR="0012064E" w:rsidRDefault="001442DC" w:rsidP="001442DC">
      <w:pPr>
        <w:rPr>
          <w:rFonts w:cstheme="minorHAnsi"/>
        </w:rPr>
      </w:pPr>
      <w:r w:rsidRPr="00C67FD7">
        <w:rPr>
          <w:rFonts w:cstheme="minorHAnsi"/>
        </w:rPr>
        <w:t>Brandyn Lepage</w:t>
      </w:r>
      <w:r w:rsidR="0012064E">
        <w:rPr>
          <w:rFonts w:cstheme="minorHAnsi"/>
        </w:rPr>
        <w:t xml:space="preserve"> </w:t>
      </w:r>
      <w:r w:rsidR="0012064E" w:rsidRPr="0012064E">
        <w:rPr>
          <w:rFonts w:cstheme="minorHAnsi"/>
        </w:rPr>
        <w:t xml:space="preserve">shot and killed Aja Pascual in her car </w:t>
      </w:r>
      <w:r w:rsidR="0012064E">
        <w:rPr>
          <w:rFonts w:cstheme="minorHAnsi"/>
        </w:rPr>
        <w:t xml:space="preserve">and </w:t>
      </w:r>
      <w:r w:rsidRPr="00C67FD7">
        <w:rPr>
          <w:rFonts w:cstheme="minorHAnsi"/>
        </w:rPr>
        <w:t xml:space="preserve">was convicted of first-degree murder </w:t>
      </w:r>
      <w:r w:rsidR="0012064E">
        <w:rPr>
          <w:rFonts w:cstheme="minorHAnsi"/>
        </w:rPr>
        <w:t>under the</w:t>
      </w:r>
      <w:r w:rsidRPr="00C67FD7">
        <w:rPr>
          <w:rFonts w:cstheme="minorHAnsi"/>
        </w:rPr>
        <w:t xml:space="preserve"> felony</w:t>
      </w:r>
      <w:r w:rsidR="0012064E">
        <w:rPr>
          <w:rFonts w:cstheme="minorHAnsi"/>
        </w:rPr>
        <w:t xml:space="preserve"> </w:t>
      </w:r>
      <w:r w:rsidRPr="00C67FD7">
        <w:rPr>
          <w:rFonts w:cstheme="minorHAnsi"/>
        </w:rPr>
        <w:t>murder</w:t>
      </w:r>
      <w:r w:rsidR="0012064E">
        <w:rPr>
          <w:rFonts w:cstheme="minorHAnsi"/>
        </w:rPr>
        <w:t xml:space="preserve"> rule</w:t>
      </w:r>
      <w:r w:rsidRPr="00C67FD7">
        <w:rPr>
          <w:rFonts w:cstheme="minorHAnsi"/>
        </w:rPr>
        <w:t xml:space="preserve">. The police obtained call logs from the victim's phone, which showed that Lepage had called the victim shortly before her death. The police also obtained Lepage's cell phone records, including call detail records, historical cell site location information (CSLI), and ping data, without a warrant. </w:t>
      </w:r>
    </w:p>
    <w:p w14:paraId="2202127F" w14:textId="77777777" w:rsidR="0012064E" w:rsidRDefault="0012064E" w:rsidP="001442DC">
      <w:pPr>
        <w:rPr>
          <w:rFonts w:cstheme="minorHAnsi"/>
        </w:rPr>
      </w:pPr>
    </w:p>
    <w:p w14:paraId="130516C3" w14:textId="3F9E39F9" w:rsidR="001442DC" w:rsidRPr="00C67FD7" w:rsidRDefault="001442DC" w:rsidP="001442DC">
      <w:pPr>
        <w:rPr>
          <w:rFonts w:cstheme="minorHAnsi"/>
        </w:rPr>
      </w:pPr>
      <w:r w:rsidRPr="00C67FD7">
        <w:rPr>
          <w:rFonts w:cstheme="minorHAnsi"/>
        </w:rPr>
        <w:t>Lepage appealed his conviction and the denial of his motion for a new trial, arguing that the police illegally obtained his cell phone records.</w:t>
      </w:r>
      <w:r w:rsidR="0012064E">
        <w:rPr>
          <w:rFonts w:cstheme="minorHAnsi"/>
        </w:rPr>
        <w:t xml:space="preserve"> </w:t>
      </w:r>
      <w:r w:rsidRPr="00C67FD7">
        <w:rPr>
          <w:rFonts w:cstheme="minorHAnsi"/>
        </w:rPr>
        <w:t>The Superior Court Department had denied Lepage's pretrial motions to suppress the cell phone records. The court found that the police did not illegally obtain Lepage's call detail records</w:t>
      </w:r>
      <w:r w:rsidR="0012064E">
        <w:rPr>
          <w:rFonts w:cstheme="minorHAnsi"/>
        </w:rPr>
        <w:t>,</w:t>
      </w:r>
      <w:r w:rsidRPr="00C67FD7">
        <w:rPr>
          <w:rFonts w:cstheme="minorHAnsi"/>
        </w:rPr>
        <w:t xml:space="preserve"> and did not use the CSLI or ping data in the manner Lepage alleged. </w:t>
      </w:r>
    </w:p>
    <w:p w14:paraId="4546EE96" w14:textId="77777777" w:rsidR="001442DC" w:rsidRPr="00C67FD7" w:rsidRDefault="001442DC" w:rsidP="001442DC">
      <w:pPr>
        <w:rPr>
          <w:rFonts w:cstheme="minorHAnsi"/>
        </w:rPr>
      </w:pPr>
    </w:p>
    <w:p w14:paraId="53AF0C9E" w14:textId="5A7EE800" w:rsidR="001442DC" w:rsidRPr="00C67FD7" w:rsidRDefault="001442DC" w:rsidP="001442DC">
      <w:pPr>
        <w:rPr>
          <w:rFonts w:cstheme="minorHAnsi"/>
        </w:rPr>
      </w:pPr>
      <w:r w:rsidRPr="00C67FD7">
        <w:rPr>
          <w:rFonts w:cstheme="minorHAnsi"/>
        </w:rPr>
        <w:t>The Supreme Judicial Court affirmed Lepage's conviction of murder in the first degree and the denial of his motion for a new trial. The court concluded that Lepage did not have a reasonable expectation of privacy in his call detail records, and therefore</w:t>
      </w:r>
      <w:r w:rsidR="0012064E">
        <w:rPr>
          <w:rFonts w:cstheme="minorHAnsi"/>
        </w:rPr>
        <w:t>,</w:t>
      </w:r>
      <w:r w:rsidRPr="00C67FD7">
        <w:rPr>
          <w:rFonts w:cstheme="minorHAnsi"/>
        </w:rPr>
        <w:t xml:space="preserve"> the police did not need a warrant to obtain this information. The court also found that the police did not use Lepage's CSLI or ping data to secure evidence against him. Therefore, the court concluded that there was no violation of Lepage's constitutional rights. </w:t>
      </w:r>
    </w:p>
    <w:p w14:paraId="405FF2BD" w14:textId="77777777" w:rsidR="001442DC" w:rsidRPr="00C67FD7" w:rsidRDefault="001442DC" w:rsidP="001442DC">
      <w:pPr>
        <w:rPr>
          <w:rFonts w:cstheme="minorHAnsi"/>
        </w:rPr>
      </w:pPr>
    </w:p>
    <w:p w14:paraId="06E943AA" w14:textId="6C8C7455" w:rsidR="001442DC" w:rsidRPr="00C67FD7" w:rsidRDefault="00D4267C" w:rsidP="001442DC">
      <w:pPr>
        <w:rPr>
          <w:rFonts w:cstheme="minorHAnsi"/>
        </w:rPr>
      </w:pPr>
      <w:r>
        <w:rPr>
          <w:rFonts w:cstheme="minorHAnsi"/>
        </w:rPr>
        <w:t>NEBRASKA</w:t>
      </w:r>
    </w:p>
    <w:p w14:paraId="700A5D53" w14:textId="77777777" w:rsidR="001442DC" w:rsidRPr="00C67FD7" w:rsidRDefault="001442DC" w:rsidP="001442DC">
      <w:pPr>
        <w:rPr>
          <w:rFonts w:cstheme="minorHAnsi"/>
        </w:rPr>
      </w:pPr>
    </w:p>
    <w:p w14:paraId="510592C1" w14:textId="77777777" w:rsidR="001442DC" w:rsidRPr="00D4267C" w:rsidRDefault="001442DC" w:rsidP="001442DC">
      <w:pPr>
        <w:rPr>
          <w:rFonts w:cstheme="minorHAnsi"/>
          <w:b/>
          <w:bCs/>
        </w:rPr>
      </w:pPr>
      <w:r w:rsidRPr="00D4267C">
        <w:rPr>
          <w:rFonts w:cstheme="minorHAnsi"/>
          <w:b/>
          <w:bCs/>
        </w:rPr>
        <w:t>State v. Hoehn</w:t>
      </w:r>
    </w:p>
    <w:p w14:paraId="53F0DEE2" w14:textId="4282C70A" w:rsidR="001442DC" w:rsidRPr="00C67FD7" w:rsidRDefault="001442DC" w:rsidP="001442DC">
      <w:pPr>
        <w:rPr>
          <w:rFonts w:cstheme="minorHAnsi"/>
        </w:rPr>
      </w:pPr>
      <w:r w:rsidRPr="00C67FD7">
        <w:rPr>
          <w:rFonts w:cstheme="minorHAnsi"/>
        </w:rPr>
        <w:t>Nebraska Supreme Court</w:t>
      </w:r>
    </w:p>
    <w:p w14:paraId="0CDB52D2" w14:textId="2E1A9770" w:rsidR="001442DC" w:rsidRPr="00C67FD7" w:rsidRDefault="001442DC" w:rsidP="001442DC">
      <w:pPr>
        <w:rPr>
          <w:rFonts w:cstheme="minorHAnsi"/>
        </w:rPr>
      </w:pPr>
      <w:r w:rsidRPr="00C67FD7">
        <w:rPr>
          <w:rFonts w:cstheme="minorHAnsi"/>
        </w:rPr>
        <w:t>May 17, 2024</w:t>
      </w:r>
    </w:p>
    <w:p w14:paraId="55050BA5" w14:textId="77777777" w:rsidR="001442DC" w:rsidRPr="00C67FD7" w:rsidRDefault="001442DC" w:rsidP="001442DC">
      <w:pPr>
        <w:rPr>
          <w:rFonts w:cstheme="minorHAnsi"/>
        </w:rPr>
      </w:pPr>
    </w:p>
    <w:p w14:paraId="62DEA3A2" w14:textId="18A5B1FC" w:rsidR="001442DC" w:rsidRPr="00D4267C" w:rsidRDefault="00D4267C" w:rsidP="001442DC">
      <w:pPr>
        <w:rPr>
          <w:rFonts w:cstheme="minorHAnsi"/>
          <w:i/>
          <w:iCs/>
        </w:rPr>
      </w:pPr>
      <w:r w:rsidRPr="00D4267C">
        <w:rPr>
          <w:rFonts w:cstheme="minorHAnsi"/>
          <w:i/>
          <w:iCs/>
        </w:rPr>
        <w:t xml:space="preserve">LEO LAW Topic 1-10: Lack of jurisdictional authority does not implicate the exclusionary rule. </w:t>
      </w:r>
    </w:p>
    <w:p w14:paraId="12387777" w14:textId="77777777" w:rsidR="001442DC" w:rsidRPr="00C67FD7" w:rsidRDefault="001442DC" w:rsidP="001442DC">
      <w:pPr>
        <w:rPr>
          <w:rFonts w:cstheme="minorHAnsi"/>
        </w:rPr>
      </w:pPr>
    </w:p>
    <w:p w14:paraId="1B4BBC24" w14:textId="1F6B8BF5" w:rsidR="001442DC" w:rsidRPr="00C67FD7" w:rsidRDefault="001442DC" w:rsidP="001442DC">
      <w:pPr>
        <w:rPr>
          <w:rFonts w:cstheme="minorHAnsi"/>
        </w:rPr>
      </w:pPr>
      <w:r w:rsidRPr="00C67FD7">
        <w:rPr>
          <w:rFonts w:cstheme="minorHAnsi"/>
        </w:rPr>
        <w:lastRenderedPageBreak/>
        <w:t xml:space="preserve">Michael Hoehn was convicted of driving under the influence after a motion to suppress evidence from his stop and arrest was denied by the county court. The arresting officer, Officer Matt Rockwell of the Minatare Police Department, had left his primary jurisdiction after receiving a report of a white pickup driving erratically. Rockwell observed the pickup straddling the centerline and trash coming from the driver’s window. After the pickup turned into oncoming traffic and down into the grass median, Rockwell stopped the vehicle and identified the driver as Hoehn. Rockwell observed Hoehn had slurred speech, </w:t>
      </w:r>
      <w:r w:rsidR="00D4267C">
        <w:rPr>
          <w:rFonts w:cstheme="minorHAnsi"/>
        </w:rPr>
        <w:t xml:space="preserve">and </w:t>
      </w:r>
      <w:r w:rsidRPr="00C67FD7">
        <w:rPr>
          <w:rFonts w:cstheme="minorHAnsi"/>
        </w:rPr>
        <w:t>bloodshot, watery eyes, and detected a strong odor of an alcoholic beverage coming from the vehicle. Rockwell administered a preliminary breath test and other field sobriety tests, which Hoehn failed, leading to his arrest for DUI.</w:t>
      </w:r>
    </w:p>
    <w:p w14:paraId="437D757D" w14:textId="77777777" w:rsidR="001442DC" w:rsidRPr="00C67FD7" w:rsidRDefault="001442DC" w:rsidP="001442DC">
      <w:pPr>
        <w:rPr>
          <w:rFonts w:cstheme="minorHAnsi"/>
        </w:rPr>
      </w:pPr>
    </w:p>
    <w:p w14:paraId="3F111008" w14:textId="0B06D3BF" w:rsidR="001442DC" w:rsidRPr="00C67FD7" w:rsidRDefault="001442DC" w:rsidP="001442DC">
      <w:pPr>
        <w:rPr>
          <w:rFonts w:cstheme="minorHAnsi"/>
        </w:rPr>
      </w:pPr>
      <w:r w:rsidRPr="00C67FD7">
        <w:rPr>
          <w:rFonts w:cstheme="minorHAnsi"/>
        </w:rPr>
        <w:t xml:space="preserve">Hoehn appealed to the district court, arguing that Rockwell did not have jurisdictional authority to perform the traffic stop. The district court affirmed the conviction, interpreting Nebraska Revised Statute § 29-215(3)(c) to mean that when probable cause exists, officers have </w:t>
      </w:r>
      <w:r w:rsidR="00D4267C">
        <w:rPr>
          <w:rFonts w:cstheme="minorHAnsi"/>
        </w:rPr>
        <w:t xml:space="preserve">the </w:t>
      </w:r>
      <w:r w:rsidRPr="00C67FD7">
        <w:rPr>
          <w:rFonts w:cstheme="minorHAnsi"/>
        </w:rPr>
        <w:t>authority to perform stops and arrests outside of their primary jurisdiction that are solely related to enforcing laws that concern a person operating a motor vehicle under the influence of alcohol or drugs.</w:t>
      </w:r>
    </w:p>
    <w:p w14:paraId="0CA0D1A9" w14:textId="77777777" w:rsidR="001442DC" w:rsidRPr="00C67FD7" w:rsidRDefault="001442DC" w:rsidP="001442DC">
      <w:pPr>
        <w:rPr>
          <w:rFonts w:cstheme="minorHAnsi"/>
        </w:rPr>
      </w:pPr>
    </w:p>
    <w:p w14:paraId="1097F034" w14:textId="4B90BF47" w:rsidR="001442DC" w:rsidRPr="00C67FD7" w:rsidRDefault="001442DC" w:rsidP="001442DC">
      <w:pPr>
        <w:rPr>
          <w:rFonts w:cstheme="minorHAnsi"/>
        </w:rPr>
      </w:pPr>
      <w:r w:rsidRPr="00C67FD7">
        <w:rPr>
          <w:rFonts w:cstheme="minorHAnsi"/>
        </w:rPr>
        <w:t xml:space="preserve">Hoehn then appealed to the Nebraska Court of Appeals, which disagreed with the district court’s interpretation of § 29-215(3)(c) and found that Rockwell lacked jurisdictional authority to make the stop and arrest. However, the Court of Appeals held that under the good faith exception to the Fourth Amendment’s exclusionary rule, Hoehn’s conviction, based on the evidence from his stop and arrest, did not violate the Fourth Amendment to the U.S. Constitution and </w:t>
      </w:r>
      <w:r w:rsidR="00D4267C">
        <w:rPr>
          <w:rFonts w:cstheme="minorHAnsi"/>
        </w:rPr>
        <w:t>A</w:t>
      </w:r>
      <w:r w:rsidRPr="00C67FD7">
        <w:rPr>
          <w:rFonts w:cstheme="minorHAnsi"/>
        </w:rPr>
        <w:t>rticle I, § 7, of the Nebraska Constitution. Both Hoehn and the State petitioned for further review by the Nebraska Supreme Court.</w:t>
      </w:r>
    </w:p>
    <w:p w14:paraId="2FE6AA06" w14:textId="77777777" w:rsidR="001442DC" w:rsidRPr="00C67FD7" w:rsidRDefault="001442DC" w:rsidP="001442DC">
      <w:pPr>
        <w:rPr>
          <w:rFonts w:cstheme="minorHAnsi"/>
        </w:rPr>
      </w:pPr>
    </w:p>
    <w:p w14:paraId="3720FF4B" w14:textId="1A339563" w:rsidR="001442DC" w:rsidRPr="00C67FD7" w:rsidRDefault="001442DC" w:rsidP="001442DC">
      <w:pPr>
        <w:rPr>
          <w:rFonts w:cstheme="minorHAnsi"/>
        </w:rPr>
      </w:pPr>
      <w:r w:rsidRPr="00C67FD7">
        <w:rPr>
          <w:rFonts w:cstheme="minorHAnsi"/>
        </w:rPr>
        <w:t xml:space="preserve">The Nebraska Supreme Court affirmed the decision of the Court of Appeals on different grounds. The court held that a law enforcement officer’s jurisdictional power and authority to make a stop or arrest is irrelevant to the admissibility, under the Fourth Amendment and </w:t>
      </w:r>
      <w:r w:rsidR="00D4267C">
        <w:rPr>
          <w:rFonts w:cstheme="minorHAnsi"/>
        </w:rPr>
        <w:t>A</w:t>
      </w:r>
      <w:r w:rsidRPr="00C67FD7">
        <w:rPr>
          <w:rFonts w:cstheme="minorHAnsi"/>
        </w:rPr>
        <w:t xml:space="preserve">rticle I, § 7, of the Nebraska Constitution, of the evidence obtained from the stop or arrest. Therefore, the county court did not err in denying Hoehn’s motion to suppress brought under the Fourth Amendment to the U.S. Constitution and </w:t>
      </w:r>
      <w:r w:rsidR="00D4267C">
        <w:rPr>
          <w:rFonts w:cstheme="minorHAnsi"/>
        </w:rPr>
        <w:t>A</w:t>
      </w:r>
      <w:r w:rsidRPr="00C67FD7">
        <w:rPr>
          <w:rFonts w:cstheme="minorHAnsi"/>
        </w:rPr>
        <w:t>rticle I, § 7, of the Nebraska Constitution.</w:t>
      </w:r>
    </w:p>
    <w:p w14:paraId="5E17E7AD" w14:textId="77777777" w:rsidR="001442DC" w:rsidRPr="00C67FD7" w:rsidRDefault="001442DC" w:rsidP="001442DC">
      <w:pPr>
        <w:rPr>
          <w:rFonts w:cstheme="minorHAnsi"/>
        </w:rPr>
      </w:pPr>
    </w:p>
    <w:p w14:paraId="18B14175" w14:textId="1AB13584" w:rsidR="001442DC" w:rsidRPr="00C67FD7" w:rsidRDefault="009C6700" w:rsidP="001442DC">
      <w:pPr>
        <w:rPr>
          <w:rFonts w:cstheme="minorHAnsi"/>
        </w:rPr>
      </w:pPr>
      <w:r>
        <w:rPr>
          <w:rFonts w:cstheme="minorHAnsi"/>
        </w:rPr>
        <w:t>NEW YORK</w:t>
      </w:r>
    </w:p>
    <w:p w14:paraId="331E4F94" w14:textId="77777777" w:rsidR="001442DC" w:rsidRPr="00C67FD7" w:rsidRDefault="001442DC" w:rsidP="001442DC">
      <w:pPr>
        <w:rPr>
          <w:rFonts w:cstheme="minorHAnsi"/>
        </w:rPr>
      </w:pPr>
    </w:p>
    <w:p w14:paraId="00493D4F" w14:textId="77777777" w:rsidR="00E87520" w:rsidRPr="009C6700" w:rsidRDefault="00E87520" w:rsidP="00E87520">
      <w:pPr>
        <w:rPr>
          <w:rFonts w:cstheme="minorHAnsi"/>
          <w:b/>
          <w:bCs/>
        </w:rPr>
      </w:pPr>
      <w:r w:rsidRPr="009C6700">
        <w:rPr>
          <w:rFonts w:cstheme="minorHAnsi"/>
          <w:b/>
          <w:bCs/>
        </w:rPr>
        <w:t>People v Brown</w:t>
      </w:r>
    </w:p>
    <w:p w14:paraId="6839DD8B" w14:textId="522709B7" w:rsidR="00E87520" w:rsidRPr="00C67FD7" w:rsidRDefault="00E87520" w:rsidP="00E87520">
      <w:pPr>
        <w:rPr>
          <w:rFonts w:cstheme="minorHAnsi"/>
        </w:rPr>
      </w:pPr>
      <w:r w:rsidRPr="00C67FD7">
        <w:rPr>
          <w:rFonts w:cstheme="minorHAnsi"/>
        </w:rPr>
        <w:t>New York Court of Appeals</w:t>
      </w:r>
    </w:p>
    <w:p w14:paraId="34860B96" w14:textId="1B5EC2CD" w:rsidR="00E87520" w:rsidRPr="00C67FD7" w:rsidRDefault="00E87520" w:rsidP="00E87520">
      <w:pPr>
        <w:rPr>
          <w:rFonts w:cstheme="minorHAnsi"/>
        </w:rPr>
      </w:pPr>
      <w:r w:rsidRPr="00C67FD7">
        <w:rPr>
          <w:rFonts w:cstheme="minorHAnsi"/>
        </w:rPr>
        <w:t>May 21, 2024</w:t>
      </w:r>
    </w:p>
    <w:p w14:paraId="15775B20" w14:textId="77777777" w:rsidR="00E87520" w:rsidRPr="00C67FD7" w:rsidRDefault="00E87520" w:rsidP="00E87520">
      <w:pPr>
        <w:rPr>
          <w:rFonts w:cstheme="minorHAnsi"/>
        </w:rPr>
      </w:pPr>
    </w:p>
    <w:p w14:paraId="67BE0877" w14:textId="296A03BD" w:rsidR="00E87520" w:rsidRPr="009C6700" w:rsidRDefault="009C6700" w:rsidP="00E87520">
      <w:pPr>
        <w:rPr>
          <w:rFonts w:cstheme="minorHAnsi"/>
          <w:i/>
          <w:iCs/>
        </w:rPr>
      </w:pPr>
      <w:r w:rsidRPr="009C6700">
        <w:rPr>
          <w:rFonts w:cstheme="minorHAnsi"/>
          <w:i/>
          <w:iCs/>
        </w:rPr>
        <w:t xml:space="preserve">LEO LAW Topic 5-31: The </w:t>
      </w:r>
      <w:r>
        <w:rPr>
          <w:rFonts w:cstheme="minorHAnsi"/>
          <w:i/>
          <w:iCs/>
        </w:rPr>
        <w:t xml:space="preserve">opening and closing of a car door on a moving vehicle </w:t>
      </w:r>
      <w:r w:rsidRPr="009C6700">
        <w:rPr>
          <w:rFonts w:cstheme="minorHAnsi"/>
          <w:i/>
          <w:iCs/>
        </w:rPr>
        <w:t xml:space="preserve">did not </w:t>
      </w:r>
      <w:r>
        <w:rPr>
          <w:rFonts w:cstheme="minorHAnsi"/>
          <w:i/>
          <w:iCs/>
        </w:rPr>
        <w:t>create a situation that would allow a stop of the vehicle under t</w:t>
      </w:r>
      <w:r w:rsidRPr="009C6700">
        <w:rPr>
          <w:rFonts w:cstheme="minorHAnsi"/>
          <w:i/>
          <w:iCs/>
        </w:rPr>
        <w:t>he Community Caretaking function</w:t>
      </w:r>
      <w:r>
        <w:rPr>
          <w:rFonts w:cstheme="minorHAnsi"/>
          <w:i/>
          <w:iCs/>
        </w:rPr>
        <w:t>.</w:t>
      </w:r>
    </w:p>
    <w:p w14:paraId="2B5E22B9" w14:textId="77777777" w:rsidR="009C6700" w:rsidRPr="00C67FD7" w:rsidRDefault="009C6700" w:rsidP="00E87520">
      <w:pPr>
        <w:rPr>
          <w:rFonts w:cstheme="minorHAnsi"/>
        </w:rPr>
      </w:pPr>
    </w:p>
    <w:p w14:paraId="0057B50C" w14:textId="77777777" w:rsidR="00E87520" w:rsidRPr="00C67FD7" w:rsidRDefault="00E87520" w:rsidP="00E87520">
      <w:pPr>
        <w:rPr>
          <w:rFonts w:cstheme="minorHAnsi"/>
        </w:rPr>
      </w:pPr>
      <w:r w:rsidRPr="00C67FD7">
        <w:rPr>
          <w:rFonts w:cstheme="minorHAnsi"/>
        </w:rPr>
        <w:t>In May 2017, police officers stopped a vehicle driven by the defendant, Jason Brown. The officers claimed they stopped the vehicle because they observed the passenger side door open and close quickly while the car was in motion, leading them to believe someone inside might need assistance. Upon approaching the vehicle, the officers smelled marijuana and subsequently discovered ecstasy in the defendant's possession. The defendant was charged with criminal possession of a controlled substance in the seventh degree.</w:t>
      </w:r>
    </w:p>
    <w:p w14:paraId="3FC92B7B" w14:textId="77777777" w:rsidR="00E87520" w:rsidRPr="00C67FD7" w:rsidRDefault="00E87520" w:rsidP="00E87520">
      <w:pPr>
        <w:rPr>
          <w:rFonts w:cstheme="minorHAnsi"/>
        </w:rPr>
      </w:pPr>
    </w:p>
    <w:p w14:paraId="2395E847" w14:textId="624B5146" w:rsidR="00E87520" w:rsidRPr="00C67FD7" w:rsidRDefault="00E87520" w:rsidP="00E87520">
      <w:pPr>
        <w:rPr>
          <w:rFonts w:cstheme="minorHAnsi"/>
        </w:rPr>
      </w:pPr>
      <w:r w:rsidRPr="00C67FD7">
        <w:rPr>
          <w:rFonts w:cstheme="minorHAnsi"/>
        </w:rPr>
        <w:t xml:space="preserve">The defendant moved to suppress his statement and the physical evidence recovered, arguing that the stop was unlawful. The court disagreed, concluding that the officers' concern for the safety of the </w:t>
      </w:r>
      <w:r w:rsidRPr="00C67FD7">
        <w:rPr>
          <w:rFonts w:cstheme="minorHAnsi"/>
        </w:rPr>
        <w:lastRenderedPageBreak/>
        <w:t xml:space="preserve">passenger justified the stop, despite the absence of a traffic infraction or reasonable suspicion of criminal activity. The </w:t>
      </w:r>
      <w:r w:rsidR="009C6700">
        <w:rPr>
          <w:rFonts w:cstheme="minorHAnsi"/>
        </w:rPr>
        <w:t>intermediate appellate court</w:t>
      </w:r>
      <w:r w:rsidRPr="00C67FD7">
        <w:rPr>
          <w:rFonts w:cstheme="minorHAnsi"/>
        </w:rPr>
        <w:t xml:space="preserve"> affirmed the judgment, holding that the stop was justified based on considerations of public safety.</w:t>
      </w:r>
    </w:p>
    <w:p w14:paraId="48FC9E72" w14:textId="77777777" w:rsidR="00E87520" w:rsidRPr="00C67FD7" w:rsidRDefault="00E87520" w:rsidP="00E87520">
      <w:pPr>
        <w:rPr>
          <w:rFonts w:cstheme="minorHAnsi"/>
        </w:rPr>
      </w:pPr>
    </w:p>
    <w:p w14:paraId="7D5AB8BB" w14:textId="23C5EEEA" w:rsidR="00E87520" w:rsidRPr="00C67FD7" w:rsidRDefault="00E87520" w:rsidP="00E87520">
      <w:pPr>
        <w:rPr>
          <w:rFonts w:cstheme="minorHAnsi"/>
        </w:rPr>
      </w:pPr>
      <w:r w:rsidRPr="00C67FD7">
        <w:rPr>
          <w:rFonts w:cstheme="minorHAnsi"/>
        </w:rPr>
        <w:t xml:space="preserve">The New York Court of Appeals reversed the lower courts' decisions. The court recognized a community caretaking function, which allows police to stop a moving vehicle under certain circumstances. </w:t>
      </w:r>
      <w:r w:rsidR="009C6700">
        <w:rPr>
          <w:rFonts w:cstheme="minorHAnsi"/>
        </w:rPr>
        <w:t>The court</w:t>
      </w:r>
      <w:r w:rsidR="009C6700" w:rsidRPr="009C6700">
        <w:rPr>
          <w:rFonts w:cstheme="minorHAnsi"/>
        </w:rPr>
        <w:t xml:space="preserve"> conclude</w:t>
      </w:r>
      <w:r w:rsidR="009C6700">
        <w:rPr>
          <w:rFonts w:cstheme="minorHAnsi"/>
        </w:rPr>
        <w:t>d</w:t>
      </w:r>
      <w:r w:rsidR="009C6700" w:rsidRPr="009C6700">
        <w:rPr>
          <w:rFonts w:cstheme="minorHAnsi"/>
        </w:rPr>
        <w:t xml:space="preserve"> that the police may stop an automobile in an exercise of their community</w:t>
      </w:r>
      <w:r w:rsidR="009C6700">
        <w:rPr>
          <w:rFonts w:cstheme="minorHAnsi"/>
        </w:rPr>
        <w:t xml:space="preserve"> </w:t>
      </w:r>
      <w:r w:rsidR="009C6700" w:rsidRPr="009C6700">
        <w:rPr>
          <w:rFonts w:cstheme="minorHAnsi"/>
        </w:rPr>
        <w:t>caretaking function if two criteria exist. First, the officers must point to specific, objective,</w:t>
      </w:r>
      <w:r w:rsidR="009C6700">
        <w:rPr>
          <w:rFonts w:cstheme="minorHAnsi"/>
        </w:rPr>
        <w:t xml:space="preserve"> </w:t>
      </w:r>
      <w:r w:rsidR="009C6700" w:rsidRPr="009C6700">
        <w:rPr>
          <w:rFonts w:cstheme="minorHAnsi"/>
        </w:rPr>
        <w:t>and articulable facts that would lead a reasonable officer to conclude that an occupant of</w:t>
      </w:r>
      <w:r w:rsidR="009C6700">
        <w:rPr>
          <w:rFonts w:cstheme="minorHAnsi"/>
        </w:rPr>
        <w:t xml:space="preserve"> </w:t>
      </w:r>
      <w:r w:rsidR="009C6700" w:rsidRPr="009C6700">
        <w:rPr>
          <w:rFonts w:cstheme="minorHAnsi"/>
        </w:rPr>
        <w:t xml:space="preserve">the vehicle </w:t>
      </w:r>
      <w:r w:rsidR="009C6700">
        <w:rPr>
          <w:rFonts w:cstheme="minorHAnsi"/>
        </w:rPr>
        <w:t>needs</w:t>
      </w:r>
      <w:r w:rsidR="009C6700" w:rsidRPr="009C6700">
        <w:rPr>
          <w:rFonts w:cstheme="minorHAnsi"/>
        </w:rPr>
        <w:t xml:space="preserve"> assistance. Second, the police intrusion must be narrowly tailored</w:t>
      </w:r>
      <w:r w:rsidR="009C6700">
        <w:rPr>
          <w:rFonts w:cstheme="minorHAnsi"/>
        </w:rPr>
        <w:t xml:space="preserve"> </w:t>
      </w:r>
      <w:r w:rsidR="009C6700" w:rsidRPr="009C6700">
        <w:rPr>
          <w:rFonts w:cstheme="minorHAnsi"/>
        </w:rPr>
        <w:t>to address the perceived need for assistance. Once assistance has been provided and the</w:t>
      </w:r>
      <w:r w:rsidR="009C6700">
        <w:rPr>
          <w:rFonts w:cstheme="minorHAnsi"/>
        </w:rPr>
        <w:t xml:space="preserve"> </w:t>
      </w:r>
      <w:r w:rsidR="009C6700" w:rsidRPr="009C6700">
        <w:rPr>
          <w:rFonts w:cstheme="minorHAnsi"/>
        </w:rPr>
        <w:t>peril mitigated, or the perceived need for assistance has been dispelled, any further police</w:t>
      </w:r>
      <w:r w:rsidR="009C6700">
        <w:rPr>
          <w:rFonts w:cstheme="minorHAnsi"/>
        </w:rPr>
        <w:t xml:space="preserve"> </w:t>
      </w:r>
      <w:r w:rsidR="009C6700" w:rsidRPr="009C6700">
        <w:rPr>
          <w:rFonts w:cstheme="minorHAnsi"/>
        </w:rPr>
        <w:t>action must be justified under the Fourth Amendment and Article I, section 12 of the State</w:t>
      </w:r>
      <w:r w:rsidR="009C6700">
        <w:rPr>
          <w:rFonts w:cstheme="minorHAnsi"/>
        </w:rPr>
        <w:t xml:space="preserve"> </w:t>
      </w:r>
      <w:r w:rsidR="009C6700" w:rsidRPr="009C6700">
        <w:rPr>
          <w:rFonts w:cstheme="minorHAnsi"/>
        </w:rPr>
        <w:t>Constitution.</w:t>
      </w:r>
      <w:r w:rsidR="009C6700">
        <w:rPr>
          <w:rFonts w:cstheme="minorHAnsi"/>
        </w:rPr>
        <w:t xml:space="preserve"> </w:t>
      </w:r>
      <w:r w:rsidRPr="00C67FD7">
        <w:rPr>
          <w:rFonts w:cstheme="minorHAnsi"/>
        </w:rPr>
        <w:t>In this case, the court found that the officers' observation of the car door opening and closing once while the vehicle was in motion did not meet this standard. Therefore, the stop of the defendant's vehicle was unlawful, and the order of the Appellate Term was reversed.</w:t>
      </w:r>
    </w:p>
    <w:p w14:paraId="3A7D3E17" w14:textId="77777777" w:rsidR="00E87520" w:rsidRPr="00C67FD7" w:rsidRDefault="00E87520" w:rsidP="001442DC">
      <w:pPr>
        <w:rPr>
          <w:rFonts w:cstheme="minorHAnsi"/>
        </w:rPr>
      </w:pPr>
    </w:p>
    <w:p w14:paraId="0032BC0A" w14:textId="10018706" w:rsidR="00E87520" w:rsidRPr="00C67FD7" w:rsidRDefault="000D374B" w:rsidP="001442DC">
      <w:pPr>
        <w:rPr>
          <w:rFonts w:cstheme="minorHAnsi"/>
        </w:rPr>
      </w:pPr>
      <w:r>
        <w:rPr>
          <w:rFonts w:cstheme="minorHAnsi"/>
        </w:rPr>
        <w:t>RHODE ISLAND</w:t>
      </w:r>
    </w:p>
    <w:p w14:paraId="7D21CDB7" w14:textId="77777777" w:rsidR="00E87520" w:rsidRPr="00C67FD7" w:rsidRDefault="00E87520" w:rsidP="001442DC">
      <w:pPr>
        <w:rPr>
          <w:rFonts w:cstheme="minorHAnsi"/>
        </w:rPr>
      </w:pPr>
    </w:p>
    <w:p w14:paraId="5B2FC77F" w14:textId="77777777" w:rsidR="001442DC" w:rsidRPr="000D374B" w:rsidRDefault="001442DC" w:rsidP="001442DC">
      <w:pPr>
        <w:rPr>
          <w:rFonts w:cstheme="minorHAnsi"/>
          <w:b/>
          <w:bCs/>
        </w:rPr>
      </w:pPr>
      <w:r w:rsidRPr="000D374B">
        <w:rPr>
          <w:rFonts w:cstheme="minorHAnsi"/>
          <w:b/>
          <w:bCs/>
        </w:rPr>
        <w:t>State v. Brown</w:t>
      </w:r>
    </w:p>
    <w:p w14:paraId="0AEE49BA" w14:textId="115B0721" w:rsidR="001442DC" w:rsidRPr="00C67FD7" w:rsidRDefault="001442DC" w:rsidP="001442DC">
      <w:pPr>
        <w:rPr>
          <w:rFonts w:cstheme="minorHAnsi"/>
        </w:rPr>
      </w:pPr>
      <w:r w:rsidRPr="00C67FD7">
        <w:rPr>
          <w:rFonts w:cstheme="minorHAnsi"/>
        </w:rPr>
        <w:t>Rhode Island Supreme Court</w:t>
      </w:r>
    </w:p>
    <w:p w14:paraId="1CCD2A08" w14:textId="68182198" w:rsidR="001442DC" w:rsidRPr="00C67FD7" w:rsidRDefault="001442DC" w:rsidP="001442DC">
      <w:pPr>
        <w:rPr>
          <w:rFonts w:cstheme="minorHAnsi"/>
        </w:rPr>
      </w:pPr>
      <w:r w:rsidRPr="00C67FD7">
        <w:rPr>
          <w:rFonts w:cstheme="minorHAnsi"/>
        </w:rPr>
        <w:t>May 22, 2024</w:t>
      </w:r>
    </w:p>
    <w:p w14:paraId="05D23666" w14:textId="77777777" w:rsidR="001442DC" w:rsidRPr="00C67FD7" w:rsidRDefault="001442DC" w:rsidP="001442DC">
      <w:pPr>
        <w:rPr>
          <w:rFonts w:cstheme="minorHAnsi"/>
        </w:rPr>
      </w:pPr>
    </w:p>
    <w:p w14:paraId="6C592B6E" w14:textId="695C80AB" w:rsidR="001442DC" w:rsidRPr="000D374B" w:rsidRDefault="000D374B" w:rsidP="001442DC">
      <w:pPr>
        <w:rPr>
          <w:rFonts w:cstheme="minorHAnsi"/>
          <w:i/>
          <w:iCs/>
        </w:rPr>
      </w:pPr>
      <w:r w:rsidRPr="000D374B">
        <w:rPr>
          <w:rFonts w:cstheme="minorHAnsi"/>
          <w:i/>
          <w:iCs/>
        </w:rPr>
        <w:t xml:space="preserve">LEO LAW Topic </w:t>
      </w:r>
      <w:r>
        <w:rPr>
          <w:rFonts w:cstheme="minorHAnsi"/>
          <w:i/>
          <w:iCs/>
        </w:rPr>
        <w:t>2-2</w:t>
      </w:r>
      <w:r w:rsidRPr="000D374B">
        <w:rPr>
          <w:rFonts w:cstheme="minorHAnsi"/>
          <w:i/>
          <w:iCs/>
        </w:rPr>
        <w:t>:</w:t>
      </w:r>
      <w:r>
        <w:rPr>
          <w:rFonts w:cstheme="minorHAnsi"/>
          <w:i/>
          <w:iCs/>
        </w:rPr>
        <w:t xml:space="preserve"> The defendant had a reasonable expectation of privacy in his conversation with his mother in a police interrogation room, regardless of the fact he did not ask for privacy.</w:t>
      </w:r>
      <w:r w:rsidRPr="000D374B">
        <w:rPr>
          <w:rFonts w:cstheme="minorHAnsi"/>
          <w:i/>
          <w:iCs/>
        </w:rPr>
        <w:t xml:space="preserve">  </w:t>
      </w:r>
    </w:p>
    <w:p w14:paraId="33E406B5" w14:textId="77777777" w:rsidR="001442DC" w:rsidRPr="00C67FD7" w:rsidRDefault="001442DC" w:rsidP="001442DC">
      <w:pPr>
        <w:rPr>
          <w:rFonts w:cstheme="minorHAnsi"/>
        </w:rPr>
      </w:pPr>
    </w:p>
    <w:p w14:paraId="4DE22F63" w14:textId="0570B2DB" w:rsidR="001442DC" w:rsidRPr="00C67FD7" w:rsidRDefault="001442DC" w:rsidP="001442DC">
      <w:pPr>
        <w:rPr>
          <w:rFonts w:cstheme="minorHAnsi"/>
        </w:rPr>
      </w:pPr>
      <w:r w:rsidRPr="00C67FD7">
        <w:rPr>
          <w:rFonts w:cstheme="minorHAnsi"/>
        </w:rPr>
        <w:t>Marklyn Brown was arrested and indicted for a shooting that resulted in the death of Berta Pereira-Roldan. During his seven-hour interrogation at the Providence Police Department, Brown consistently maintained his innocence and expressed his desire to speak with his mother. After three hours of questioning, the police allowed Brown to speak with his mother. The conversation between Brown and his mother was recorded and listened to by the police without their knowledge.</w:t>
      </w:r>
    </w:p>
    <w:p w14:paraId="7940B670" w14:textId="77777777" w:rsidR="001442DC" w:rsidRPr="00C67FD7" w:rsidRDefault="001442DC" w:rsidP="001442DC">
      <w:pPr>
        <w:rPr>
          <w:rFonts w:cstheme="minorHAnsi"/>
        </w:rPr>
      </w:pPr>
    </w:p>
    <w:p w14:paraId="42A3DFD9" w14:textId="1CC11742" w:rsidR="001442DC" w:rsidRPr="00C67FD7" w:rsidRDefault="001442DC" w:rsidP="001442DC">
      <w:pPr>
        <w:rPr>
          <w:rFonts w:cstheme="minorHAnsi"/>
        </w:rPr>
      </w:pPr>
      <w:r w:rsidRPr="00C67FD7">
        <w:rPr>
          <w:rFonts w:cstheme="minorHAnsi"/>
        </w:rPr>
        <w:t>T</w:t>
      </w:r>
      <w:r w:rsidR="000D374B">
        <w:rPr>
          <w:rFonts w:cstheme="minorHAnsi"/>
        </w:rPr>
        <w:t xml:space="preserve">brown filed a motion to suppress </w:t>
      </w:r>
      <w:r w:rsidRPr="00C67FD7">
        <w:rPr>
          <w:rFonts w:cstheme="minorHAnsi"/>
        </w:rPr>
        <w:t xml:space="preserve">the statements he made during the interrogation and the recorded conversation with his mother. Brown argued that his Fifth Amendment right against self-incrimination, his Sixth Amendment right to counsel, and his right under the Rhode Island Constitution against self-incrimination were violated. He also argued that the surreptitious recording violated the Fourth Amendment to the United States Constitution </w:t>
      </w:r>
      <w:r w:rsidR="000D374B">
        <w:rPr>
          <w:rFonts w:cstheme="minorHAnsi"/>
        </w:rPr>
        <w:t xml:space="preserve">and </w:t>
      </w:r>
      <w:r w:rsidRPr="00C67FD7">
        <w:rPr>
          <w:rFonts w:cstheme="minorHAnsi"/>
        </w:rPr>
        <w:t xml:space="preserve">the Rhode Island Constitution, and constituted an unauthorized wiretap </w:t>
      </w:r>
      <w:r w:rsidR="000D374B">
        <w:rPr>
          <w:rFonts w:cstheme="minorHAnsi"/>
        </w:rPr>
        <w:t>under Rhode  Island law.</w:t>
      </w:r>
      <w:r w:rsidRPr="00C67FD7">
        <w:rPr>
          <w:rFonts w:cstheme="minorHAnsi"/>
        </w:rPr>
        <w:t xml:space="preserve"> The trial justice suppressed both the interrogation and Brown's entire conversation with his mother, determining that Brown had a reasonable expectation of privacy when he spoke to his mother in the interview room.</w:t>
      </w:r>
    </w:p>
    <w:p w14:paraId="23CF56BC" w14:textId="77777777" w:rsidR="001442DC" w:rsidRPr="00C67FD7" w:rsidRDefault="001442DC" w:rsidP="001442DC">
      <w:pPr>
        <w:rPr>
          <w:rFonts w:cstheme="minorHAnsi"/>
        </w:rPr>
      </w:pPr>
    </w:p>
    <w:p w14:paraId="0EC50528" w14:textId="0902C0A8" w:rsidR="001442DC" w:rsidRPr="00C67FD7" w:rsidRDefault="001442DC" w:rsidP="001442DC">
      <w:pPr>
        <w:rPr>
          <w:rFonts w:cstheme="minorHAnsi"/>
        </w:rPr>
      </w:pPr>
      <w:r w:rsidRPr="00C67FD7">
        <w:rPr>
          <w:rFonts w:cstheme="minorHAnsi"/>
        </w:rPr>
        <w:t xml:space="preserve">The Supreme Court of Rhode Island affirmed the order of the Superior Court. The court concluded that Brown had a reasonable expectation of privacy when he spoke with his mother in the interview room and that the police violated Brown's Fourth Amendment rights as well as his rights </w:t>
      </w:r>
      <w:r w:rsidR="000D374B">
        <w:rPr>
          <w:rFonts w:cstheme="minorHAnsi"/>
        </w:rPr>
        <w:t>according</w:t>
      </w:r>
      <w:r w:rsidRPr="00C67FD7">
        <w:rPr>
          <w:rFonts w:cstheme="minorHAnsi"/>
        </w:rPr>
        <w:t xml:space="preserve"> to </w:t>
      </w:r>
      <w:r w:rsidR="000D374B">
        <w:rPr>
          <w:rFonts w:cstheme="minorHAnsi"/>
        </w:rPr>
        <w:t>A</w:t>
      </w:r>
      <w:r w:rsidRPr="00C67FD7">
        <w:rPr>
          <w:rFonts w:cstheme="minorHAnsi"/>
        </w:rPr>
        <w:t>rticle 1, section 6 of the Rhode Island Constitution when they recorded his conversation with his mother. The court rejected the state's arguments that Brown did not possess a reasonable expectation of privacy because he did not ask for a private, unrecorded conversation and that he lacked a reasonable expectation of privacy in a police interrogation room.</w:t>
      </w:r>
    </w:p>
    <w:p w14:paraId="3CC6C65B" w14:textId="77777777" w:rsidR="001442DC" w:rsidRPr="00C67FD7" w:rsidRDefault="001442DC" w:rsidP="001442DC">
      <w:pPr>
        <w:rPr>
          <w:rFonts w:cstheme="minorHAnsi"/>
        </w:rPr>
      </w:pPr>
    </w:p>
    <w:p w14:paraId="11C4037D" w14:textId="77777777" w:rsidR="000D374B" w:rsidRDefault="000D374B">
      <w:pPr>
        <w:rPr>
          <w:rFonts w:cstheme="minorHAnsi"/>
        </w:rPr>
      </w:pPr>
      <w:r>
        <w:rPr>
          <w:rFonts w:cstheme="minorHAnsi"/>
        </w:rPr>
        <w:lastRenderedPageBreak/>
        <w:br w:type="page"/>
      </w:r>
    </w:p>
    <w:p w14:paraId="5C26A5BE" w14:textId="52473B8A" w:rsidR="001442DC" w:rsidRPr="00C67FD7" w:rsidRDefault="000B7053" w:rsidP="001442DC">
      <w:pPr>
        <w:rPr>
          <w:rFonts w:cstheme="minorHAnsi"/>
        </w:rPr>
      </w:pPr>
      <w:r w:rsidRPr="00C67FD7">
        <w:rPr>
          <w:rFonts w:cstheme="minorHAnsi"/>
        </w:rPr>
        <w:lastRenderedPageBreak/>
        <w:t>USE OF FORCE</w:t>
      </w:r>
    </w:p>
    <w:p w14:paraId="18688841" w14:textId="77777777" w:rsidR="001442DC" w:rsidRPr="00C67FD7" w:rsidRDefault="001442DC" w:rsidP="001442DC">
      <w:pPr>
        <w:rPr>
          <w:rFonts w:cstheme="minorHAnsi"/>
        </w:rPr>
      </w:pPr>
    </w:p>
    <w:p w14:paraId="7BC45C52" w14:textId="77777777" w:rsidR="000B7053" w:rsidRPr="000D374B" w:rsidRDefault="000B7053" w:rsidP="000B7053">
      <w:pPr>
        <w:rPr>
          <w:rFonts w:cstheme="minorHAnsi"/>
          <w:b/>
          <w:bCs/>
        </w:rPr>
      </w:pPr>
      <w:r w:rsidRPr="000D374B">
        <w:rPr>
          <w:rFonts w:cstheme="minorHAnsi"/>
          <w:b/>
          <w:bCs/>
        </w:rPr>
        <w:t>Brumitt v. Smith</w:t>
      </w:r>
    </w:p>
    <w:p w14:paraId="7E701616" w14:textId="36A61179" w:rsidR="000B7053" w:rsidRPr="00C67FD7" w:rsidRDefault="000B7053" w:rsidP="000B7053">
      <w:pPr>
        <w:rPr>
          <w:rFonts w:cstheme="minorHAnsi"/>
        </w:rPr>
      </w:pPr>
      <w:r w:rsidRPr="00C67FD7">
        <w:rPr>
          <w:rFonts w:cstheme="minorHAnsi"/>
        </w:rPr>
        <w:t>US Court of Appeals for the Seventh Circuit</w:t>
      </w:r>
    </w:p>
    <w:p w14:paraId="2D0C343E" w14:textId="11C1C8F6" w:rsidR="000B7053" w:rsidRPr="00C67FD7" w:rsidRDefault="000D374B" w:rsidP="000B7053">
      <w:pPr>
        <w:rPr>
          <w:rFonts w:cstheme="minorHAnsi"/>
        </w:rPr>
      </w:pPr>
      <w:r w:rsidRPr="000D374B">
        <w:rPr>
          <w:rFonts w:cstheme="minorHAnsi"/>
        </w:rPr>
        <w:t>May 20, 2024</w:t>
      </w:r>
    </w:p>
    <w:p w14:paraId="483CF7E1" w14:textId="77777777" w:rsidR="000B7053" w:rsidRPr="00C67FD7" w:rsidRDefault="000B7053" w:rsidP="000B7053">
      <w:pPr>
        <w:rPr>
          <w:rFonts w:cstheme="minorHAnsi"/>
        </w:rPr>
      </w:pPr>
      <w:r w:rsidRPr="00C67FD7">
        <w:rPr>
          <w:rFonts w:cstheme="minorHAnsi"/>
        </w:rPr>
        <w:t>Docket: 23-1321</w:t>
      </w:r>
    </w:p>
    <w:p w14:paraId="65FE45E8" w14:textId="77777777" w:rsidR="000B7053" w:rsidRPr="00C67FD7" w:rsidRDefault="000B7053" w:rsidP="000B7053">
      <w:pPr>
        <w:rPr>
          <w:rFonts w:cstheme="minorHAnsi"/>
        </w:rPr>
      </w:pPr>
    </w:p>
    <w:p w14:paraId="7F104758" w14:textId="34F7728D" w:rsidR="000B7053" w:rsidRPr="000D374B" w:rsidRDefault="000D374B" w:rsidP="000B7053">
      <w:pPr>
        <w:rPr>
          <w:rFonts w:cstheme="minorHAnsi"/>
          <w:i/>
          <w:iCs/>
        </w:rPr>
      </w:pPr>
      <w:r w:rsidRPr="000D374B">
        <w:rPr>
          <w:rFonts w:cstheme="minorHAnsi"/>
          <w:i/>
          <w:iCs/>
        </w:rPr>
        <w:t xml:space="preserve">LEO LAW Topic </w:t>
      </w:r>
      <w:r>
        <w:rPr>
          <w:rFonts w:cstheme="minorHAnsi"/>
          <w:i/>
          <w:iCs/>
        </w:rPr>
        <w:t>8-1</w:t>
      </w:r>
      <w:r w:rsidRPr="000D374B">
        <w:rPr>
          <w:rFonts w:cstheme="minorHAnsi"/>
          <w:i/>
          <w:iCs/>
        </w:rPr>
        <w:t xml:space="preserve">: </w:t>
      </w:r>
      <w:r>
        <w:rPr>
          <w:rFonts w:cstheme="minorHAnsi"/>
          <w:i/>
          <w:iCs/>
        </w:rPr>
        <w:t>The Officer was entitled to qualified immunity because it is not clearly established that an officer must reassess the use of physical force in striking a person in the face within less than four seconds.</w:t>
      </w:r>
    </w:p>
    <w:p w14:paraId="2E8DF4F4" w14:textId="77777777" w:rsidR="000B7053" w:rsidRPr="00C67FD7" w:rsidRDefault="000B7053" w:rsidP="000B7053">
      <w:pPr>
        <w:rPr>
          <w:rFonts w:cstheme="minorHAnsi"/>
        </w:rPr>
      </w:pPr>
    </w:p>
    <w:p w14:paraId="2226A4EA" w14:textId="5098E3C1" w:rsidR="000D374B" w:rsidRDefault="000B7053" w:rsidP="000B7053">
      <w:pPr>
        <w:rPr>
          <w:rFonts w:cstheme="minorHAnsi"/>
        </w:rPr>
      </w:pPr>
      <w:r w:rsidRPr="00C67FD7">
        <w:rPr>
          <w:rFonts w:cstheme="minorHAnsi"/>
        </w:rPr>
        <w:t>Charles Brumitt was intoxicated and lying on a utility box</w:t>
      </w:r>
      <w:r w:rsidR="000D374B">
        <w:rPr>
          <w:rFonts w:cstheme="minorHAnsi"/>
        </w:rPr>
        <w:t xml:space="preserve"> when he was observed by E</w:t>
      </w:r>
      <w:r w:rsidRPr="00C67FD7">
        <w:rPr>
          <w:rFonts w:cstheme="minorHAnsi"/>
        </w:rPr>
        <w:t>vansville Police Department Sergeant Sam Smith</w:t>
      </w:r>
      <w:r w:rsidR="000D374B">
        <w:rPr>
          <w:rFonts w:cstheme="minorHAnsi"/>
        </w:rPr>
        <w:t xml:space="preserve"> at about 3 am while he was patrolling in his police car</w:t>
      </w:r>
      <w:r w:rsidRPr="00C67FD7">
        <w:rPr>
          <w:rFonts w:cstheme="minorHAnsi"/>
        </w:rPr>
        <w:t>.</w:t>
      </w:r>
      <w:r w:rsidR="000D374B">
        <w:rPr>
          <w:rFonts w:cstheme="minorHAnsi"/>
        </w:rPr>
        <w:t xml:space="preserve"> </w:t>
      </w:r>
      <w:r w:rsidRPr="00C67FD7">
        <w:rPr>
          <w:rFonts w:cstheme="minorHAnsi"/>
        </w:rPr>
        <w:t xml:space="preserve"> </w:t>
      </w:r>
      <w:r w:rsidR="000D374B">
        <w:rPr>
          <w:rFonts w:cstheme="minorHAnsi"/>
        </w:rPr>
        <w:t xml:space="preserve">Officer Smith left his vehicle </w:t>
      </w:r>
      <w:r w:rsidR="000D374B" w:rsidRPr="000D374B">
        <w:rPr>
          <w:rFonts w:cstheme="minorHAnsi"/>
        </w:rPr>
        <w:t>to check on Brumitt’s well</w:t>
      </w:r>
      <w:r w:rsidR="000D374B">
        <w:rPr>
          <w:rFonts w:cstheme="minorHAnsi"/>
        </w:rPr>
        <w:t>-</w:t>
      </w:r>
      <w:r w:rsidR="000D374B" w:rsidRPr="000D374B">
        <w:rPr>
          <w:rFonts w:cstheme="minorHAnsi"/>
        </w:rPr>
        <w:t>being and to see if there were</w:t>
      </w:r>
      <w:r w:rsidR="000D374B">
        <w:rPr>
          <w:rFonts w:cstheme="minorHAnsi"/>
        </w:rPr>
        <w:t xml:space="preserve"> </w:t>
      </w:r>
      <w:r w:rsidR="000D374B" w:rsidRPr="000D374B">
        <w:rPr>
          <w:rFonts w:cstheme="minorHAnsi"/>
        </w:rPr>
        <w:t xml:space="preserve">any warrants for Brumitt’s arrest. </w:t>
      </w:r>
      <w:r w:rsidR="000D374B">
        <w:rPr>
          <w:rFonts w:cstheme="minorHAnsi"/>
        </w:rPr>
        <w:t xml:space="preserve">While talking to Officer Smith, Brumitt became aggressive and struck Officer Smith in the face with a roundhouse swing. </w:t>
      </w:r>
      <w:r w:rsidRPr="00C67FD7">
        <w:rPr>
          <w:rFonts w:cstheme="minorHAnsi"/>
        </w:rPr>
        <w:t xml:space="preserve">In response, </w:t>
      </w:r>
      <w:r w:rsidR="000D374B">
        <w:rPr>
          <w:rFonts w:cstheme="minorHAnsi"/>
        </w:rPr>
        <w:t xml:space="preserve">Officer </w:t>
      </w:r>
      <w:r w:rsidRPr="00C67FD7">
        <w:rPr>
          <w:rFonts w:cstheme="minorHAnsi"/>
        </w:rPr>
        <w:t xml:space="preserve">Smith punched Brumitt four times in the face, knocking him unconscious. </w:t>
      </w:r>
    </w:p>
    <w:p w14:paraId="489740B7" w14:textId="77777777" w:rsidR="000D374B" w:rsidRDefault="000D374B" w:rsidP="000B7053">
      <w:pPr>
        <w:rPr>
          <w:rFonts w:cstheme="minorHAnsi"/>
        </w:rPr>
      </w:pPr>
    </w:p>
    <w:p w14:paraId="16FB0365" w14:textId="571D691C" w:rsidR="000B7053" w:rsidRPr="00C67FD7" w:rsidRDefault="000B7053" w:rsidP="000B7053">
      <w:pPr>
        <w:rPr>
          <w:rFonts w:cstheme="minorHAnsi"/>
        </w:rPr>
      </w:pPr>
      <w:r w:rsidRPr="00C67FD7">
        <w:rPr>
          <w:rFonts w:cstheme="minorHAnsi"/>
        </w:rPr>
        <w:t xml:space="preserve">Brumitt sued </w:t>
      </w:r>
      <w:r w:rsidR="000D374B">
        <w:rPr>
          <w:rFonts w:cstheme="minorHAnsi"/>
        </w:rPr>
        <w:t xml:space="preserve">Officer </w:t>
      </w:r>
      <w:r w:rsidRPr="00C67FD7">
        <w:rPr>
          <w:rFonts w:cstheme="minorHAnsi"/>
        </w:rPr>
        <w:t xml:space="preserve">Smith under 42 U.S.C. § 1983, alleging that </w:t>
      </w:r>
      <w:r w:rsidR="000D374B">
        <w:rPr>
          <w:rFonts w:cstheme="minorHAnsi"/>
        </w:rPr>
        <w:t xml:space="preserve">Officer </w:t>
      </w:r>
      <w:r w:rsidRPr="00C67FD7">
        <w:rPr>
          <w:rFonts w:cstheme="minorHAnsi"/>
        </w:rPr>
        <w:t xml:space="preserve">Smith used excessive force in violation of his Fourth Amendment rights. </w:t>
      </w:r>
      <w:r w:rsidR="000D374B">
        <w:rPr>
          <w:rFonts w:cstheme="minorHAnsi"/>
        </w:rPr>
        <w:t xml:space="preserve">Officer </w:t>
      </w:r>
      <w:r w:rsidRPr="00C67FD7">
        <w:rPr>
          <w:rFonts w:cstheme="minorHAnsi"/>
        </w:rPr>
        <w:t>Smith sought summary judgment, arguing that his use of force was objectively reasonable and that he was entitled to qualified immunity.</w:t>
      </w:r>
    </w:p>
    <w:p w14:paraId="36BDE97F" w14:textId="77777777" w:rsidR="000B7053" w:rsidRPr="00C67FD7" w:rsidRDefault="000B7053" w:rsidP="000B7053">
      <w:pPr>
        <w:rPr>
          <w:rFonts w:cstheme="minorHAnsi"/>
        </w:rPr>
      </w:pPr>
    </w:p>
    <w:p w14:paraId="2EB382A2" w14:textId="352C570E" w:rsidR="000B7053" w:rsidRPr="00C67FD7" w:rsidRDefault="000B7053" w:rsidP="000B7053">
      <w:pPr>
        <w:rPr>
          <w:rFonts w:cstheme="minorHAnsi"/>
        </w:rPr>
      </w:pPr>
      <w:r w:rsidRPr="00C67FD7">
        <w:rPr>
          <w:rFonts w:cstheme="minorHAnsi"/>
        </w:rPr>
        <w:t xml:space="preserve">The district court denied </w:t>
      </w:r>
      <w:r w:rsidR="000D374B">
        <w:rPr>
          <w:rFonts w:cstheme="minorHAnsi"/>
        </w:rPr>
        <w:t xml:space="preserve">Officer </w:t>
      </w:r>
      <w:r w:rsidRPr="00C67FD7">
        <w:rPr>
          <w:rFonts w:cstheme="minorHAnsi"/>
        </w:rPr>
        <w:t xml:space="preserve">Smith's motion for summary judgment. It concluded that there were factual disputes that prevented it from determining whether the force used by </w:t>
      </w:r>
      <w:r w:rsidR="000D374B">
        <w:rPr>
          <w:rFonts w:cstheme="minorHAnsi"/>
        </w:rPr>
        <w:t xml:space="preserve">Officer </w:t>
      </w:r>
      <w:r w:rsidRPr="00C67FD7">
        <w:rPr>
          <w:rFonts w:cstheme="minorHAnsi"/>
        </w:rPr>
        <w:t>Smith was reasonable and whether</w:t>
      </w:r>
      <w:r w:rsidR="000D374B">
        <w:rPr>
          <w:rFonts w:cstheme="minorHAnsi"/>
        </w:rPr>
        <w:t xml:space="preserve"> Officer</w:t>
      </w:r>
      <w:r w:rsidRPr="00C67FD7">
        <w:rPr>
          <w:rFonts w:cstheme="minorHAnsi"/>
        </w:rPr>
        <w:t xml:space="preserve"> Smith was entitled to qualified immunity. The court stated that the right Brumitt asserted</w:t>
      </w:r>
      <w:r w:rsidR="000D374B">
        <w:rPr>
          <w:rFonts w:cstheme="minorHAnsi"/>
        </w:rPr>
        <w:t xml:space="preserve"> t</w:t>
      </w:r>
      <w:r w:rsidRPr="00C67FD7">
        <w:rPr>
          <w:rFonts w:cstheme="minorHAnsi"/>
        </w:rPr>
        <w:t>o be free from force once subdued</w:t>
      </w:r>
      <w:r w:rsidR="000D374B">
        <w:rPr>
          <w:rFonts w:cstheme="minorHAnsi"/>
        </w:rPr>
        <w:t xml:space="preserve"> </w:t>
      </w:r>
      <w:r w:rsidRPr="00C67FD7">
        <w:rPr>
          <w:rFonts w:cstheme="minorHAnsi"/>
        </w:rPr>
        <w:t xml:space="preserve">was clearly established. </w:t>
      </w:r>
      <w:r w:rsidR="000D374B">
        <w:rPr>
          <w:rFonts w:cstheme="minorHAnsi"/>
        </w:rPr>
        <w:t xml:space="preserve">Officer </w:t>
      </w:r>
      <w:r w:rsidRPr="00C67FD7">
        <w:rPr>
          <w:rFonts w:cstheme="minorHAnsi"/>
        </w:rPr>
        <w:t>Smith appealed this decision.</w:t>
      </w:r>
    </w:p>
    <w:p w14:paraId="37A73DFE" w14:textId="77777777" w:rsidR="000B7053" w:rsidRPr="00C67FD7" w:rsidRDefault="000B7053" w:rsidP="000B7053">
      <w:pPr>
        <w:rPr>
          <w:rFonts w:cstheme="minorHAnsi"/>
        </w:rPr>
      </w:pPr>
    </w:p>
    <w:p w14:paraId="15D414E4" w14:textId="4B118EB6" w:rsidR="001442DC" w:rsidRPr="00C67FD7" w:rsidRDefault="000B7053" w:rsidP="000B7053">
      <w:pPr>
        <w:rPr>
          <w:rFonts w:cstheme="minorHAnsi"/>
        </w:rPr>
      </w:pPr>
      <w:r w:rsidRPr="00C67FD7">
        <w:rPr>
          <w:rFonts w:cstheme="minorHAnsi"/>
        </w:rPr>
        <w:t xml:space="preserve">The United States Court of Appeals for the Seventh Circuit reversed the district court's decision. The appellate court concluded that Brumitt had not met his burden of showing that </w:t>
      </w:r>
      <w:r w:rsidR="000D374B">
        <w:rPr>
          <w:rFonts w:cstheme="minorHAnsi"/>
        </w:rPr>
        <w:t xml:space="preserve">Officer </w:t>
      </w:r>
      <w:r w:rsidRPr="00C67FD7">
        <w:rPr>
          <w:rFonts w:cstheme="minorHAnsi"/>
        </w:rPr>
        <w:t xml:space="preserve">Smith violated a clearly established right. The court found that no case </w:t>
      </w:r>
      <w:r w:rsidR="000D374B">
        <w:rPr>
          <w:rFonts w:cstheme="minorHAnsi"/>
        </w:rPr>
        <w:t xml:space="preserve">that </w:t>
      </w:r>
      <w:r w:rsidRPr="00C67FD7">
        <w:rPr>
          <w:rFonts w:cstheme="minorHAnsi"/>
        </w:rPr>
        <w:t xml:space="preserve">clearly established that a reasonable officer must reassess his use of force within less than four seconds. Therefore, </w:t>
      </w:r>
      <w:r w:rsidR="000D374B">
        <w:rPr>
          <w:rFonts w:cstheme="minorHAnsi"/>
        </w:rPr>
        <w:t xml:space="preserve">Officer </w:t>
      </w:r>
      <w:r w:rsidRPr="00C67FD7">
        <w:rPr>
          <w:rFonts w:cstheme="minorHAnsi"/>
        </w:rPr>
        <w:t xml:space="preserve">Smith was entitled to qualified immunity. </w:t>
      </w:r>
    </w:p>
    <w:sectPr w:rsidR="001442DC" w:rsidRPr="00C67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SyMDaxtDAxNjE0MTRX0lEKTi0uzszPAykwrAUA5oeWQSwAAAA="/>
  </w:docVars>
  <w:rsids>
    <w:rsidRoot w:val="00D60586"/>
    <w:rsid w:val="000B7053"/>
    <w:rsid w:val="000D374B"/>
    <w:rsid w:val="0012064E"/>
    <w:rsid w:val="001442DC"/>
    <w:rsid w:val="00270BD6"/>
    <w:rsid w:val="00472352"/>
    <w:rsid w:val="00506349"/>
    <w:rsid w:val="00696D7D"/>
    <w:rsid w:val="006D7AFA"/>
    <w:rsid w:val="009736FB"/>
    <w:rsid w:val="009C6700"/>
    <w:rsid w:val="00C67FD7"/>
    <w:rsid w:val="00D4267C"/>
    <w:rsid w:val="00D477A5"/>
    <w:rsid w:val="00D60586"/>
    <w:rsid w:val="00E87520"/>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D27AC"/>
  <w15:chartTrackingRefBased/>
  <w15:docId w15:val="{F56E51BC-E335-4114-B57B-0BB8CA5A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FD7"/>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67FD7"/>
    <w:rPr>
      <w:b/>
      <w:bCs/>
    </w:rPr>
  </w:style>
  <w:style w:type="character" w:styleId="Emphasis">
    <w:name w:val="Emphasis"/>
    <w:basedOn w:val="DefaultParagraphFont"/>
    <w:uiPriority w:val="20"/>
    <w:qFormat/>
    <w:rsid w:val="00C67F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5413">
      <w:bodyDiv w:val="1"/>
      <w:marLeft w:val="0"/>
      <w:marRight w:val="0"/>
      <w:marTop w:val="0"/>
      <w:marBottom w:val="0"/>
      <w:divBdr>
        <w:top w:val="none" w:sz="0" w:space="0" w:color="auto"/>
        <w:left w:val="none" w:sz="0" w:space="0" w:color="auto"/>
        <w:bottom w:val="none" w:sz="0" w:space="0" w:color="auto"/>
        <w:right w:val="none" w:sz="0" w:space="0" w:color="auto"/>
      </w:divBdr>
    </w:div>
    <w:div w:id="182237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11</Pages>
  <Words>4828</Words>
  <Characters>25641</Characters>
  <Application>Microsoft Office Word</Application>
  <DocSecurity>0</DocSecurity>
  <Lines>457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11</cp:revision>
  <dcterms:created xsi:type="dcterms:W3CDTF">2024-05-24T20:40:00Z</dcterms:created>
  <dcterms:modified xsi:type="dcterms:W3CDTF">2024-05-27T20:43:00Z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d310dd59-4b6a-4e9d-9040-7febb99f1800</vt:lpwstr>
  </property>
</Properties>
</file>