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8DFBD" w14:textId="7A2E4F6E" w:rsidR="00533A48" w:rsidRDefault="002F20FF">
      <w:r>
        <w:t>CASES 15NOV2024</w:t>
      </w:r>
    </w:p>
    <w:p w14:paraId="07D9E1BC" w14:textId="77777777" w:rsidR="005D2456" w:rsidRDefault="005D2456"/>
    <w:p w14:paraId="65FFA312" w14:textId="4F945050" w:rsidR="002F20FF" w:rsidRPr="00E330EF" w:rsidRDefault="005D2456">
      <w:pPr>
        <w:rPr>
          <w:b/>
          <w:bCs/>
        </w:rPr>
      </w:pPr>
      <w:r w:rsidRPr="00E330EF">
        <w:rPr>
          <w:b/>
          <w:bCs/>
        </w:rPr>
        <w:t>SIXTH CIRCUIT</w:t>
      </w:r>
    </w:p>
    <w:p w14:paraId="6426B5E6" w14:textId="77777777" w:rsidR="005D2456" w:rsidRDefault="005D2456" w:rsidP="00A738D0">
      <w:pPr>
        <w:rPr>
          <w:b/>
          <w:bCs/>
        </w:rPr>
      </w:pPr>
    </w:p>
    <w:p w14:paraId="159CE1AA" w14:textId="7AA6981E" w:rsidR="00A738D0" w:rsidRPr="00A738D0" w:rsidRDefault="00A738D0" w:rsidP="00A738D0">
      <w:pPr>
        <w:rPr>
          <w:b/>
          <w:bCs/>
        </w:rPr>
      </w:pPr>
      <w:r w:rsidRPr="00A738D0">
        <w:rPr>
          <w:b/>
          <w:bCs/>
        </w:rPr>
        <w:t>Jones v. Naert</w:t>
      </w:r>
    </w:p>
    <w:p w14:paraId="4B1FBAA7" w14:textId="2F63F156" w:rsidR="00A738D0" w:rsidRDefault="00A738D0" w:rsidP="00A738D0">
      <w:r>
        <w:t>US Court of Appeals for the Sixth Circuit</w:t>
      </w:r>
    </w:p>
    <w:p w14:paraId="1B4863C0" w14:textId="3C4AC52C" w:rsidR="00A738D0" w:rsidRDefault="00A738D0" w:rsidP="00A738D0">
      <w:r w:rsidRPr="00A738D0">
        <w:t>November 12, 2024</w:t>
      </w:r>
    </w:p>
    <w:p w14:paraId="43277060" w14:textId="77777777" w:rsidR="00A738D0" w:rsidRDefault="00A738D0" w:rsidP="00A738D0">
      <w:r>
        <w:t>Docket: 23-1056</w:t>
      </w:r>
    </w:p>
    <w:p w14:paraId="5B0EF27B" w14:textId="77777777" w:rsidR="00A738D0" w:rsidRDefault="00A738D0" w:rsidP="00A738D0"/>
    <w:p w14:paraId="42279E38" w14:textId="15804C93" w:rsidR="00A738D0" w:rsidRPr="005D2456" w:rsidRDefault="00A738D0" w:rsidP="00A738D0">
      <w:pPr>
        <w:rPr>
          <w:i/>
          <w:iCs/>
        </w:rPr>
      </w:pPr>
      <w:r w:rsidRPr="005D2456">
        <w:rPr>
          <w:i/>
          <w:iCs/>
        </w:rPr>
        <w:t xml:space="preserve">LEO LAW Topic </w:t>
      </w:r>
      <w:r w:rsidR="00E55FD9" w:rsidRPr="005D2456">
        <w:rPr>
          <w:i/>
          <w:iCs/>
        </w:rPr>
        <w:t>3-5</w:t>
      </w:r>
      <w:r w:rsidRPr="005D2456">
        <w:rPr>
          <w:i/>
          <w:iCs/>
        </w:rPr>
        <w:t>:</w:t>
      </w:r>
      <w:r w:rsidR="00E55FD9" w:rsidRPr="005D2456">
        <w:rPr>
          <w:i/>
          <w:iCs/>
        </w:rPr>
        <w:t xml:space="preserve">  Officer did not have probable cause to arrest a woman under Michigan’s disorderly statute</w:t>
      </w:r>
      <w:r w:rsidR="005D2456" w:rsidRPr="005D2456">
        <w:rPr>
          <w:i/>
          <w:iCs/>
        </w:rPr>
        <w:t>, but qualified immunity was proper since it wasn’t clearly established.</w:t>
      </w:r>
      <w:r w:rsidR="00E55FD9" w:rsidRPr="005D2456">
        <w:rPr>
          <w:i/>
          <w:iCs/>
        </w:rPr>
        <w:t xml:space="preserve"> </w:t>
      </w:r>
    </w:p>
    <w:p w14:paraId="04EDA204" w14:textId="77777777" w:rsidR="00A738D0" w:rsidRDefault="00A738D0" w:rsidP="00A738D0"/>
    <w:p w14:paraId="2B6D1480" w14:textId="57FEBC6B" w:rsidR="00A738D0" w:rsidRDefault="00B304ED" w:rsidP="00A738D0">
      <w:r>
        <w:t xml:space="preserve">On the afternoon of December 3, 2019, </w:t>
      </w:r>
      <w:r w:rsidR="00A738D0">
        <w:t xml:space="preserve">Ronda Jones </w:t>
      </w:r>
      <w:r>
        <w:t xml:space="preserve">received a call from her son, Case, who had been in an automobile accident after swerving to avoid hitting a dog. Officer Naert was dispatched to the scene. Finding no one present, he </w:t>
      </w:r>
      <w:r w:rsidRPr="00B304ED">
        <w:t>ran the vehicle’s registration and saw it belonged to Jones, who he learned from dispatch had a prior drunk driving arrest.</w:t>
      </w:r>
      <w:r>
        <w:t xml:space="preserve"> According to his testimony, his</w:t>
      </w:r>
      <w:r w:rsidRPr="00B304ED">
        <w:t xml:space="preserve"> “crystal ball” told him that Jones had driven the car while drunk, so he went to her home to investigate</w:t>
      </w:r>
      <w:r>
        <w:t xml:space="preserve"> and knocked on the door</w:t>
      </w:r>
      <w:r w:rsidRPr="00B304ED">
        <w:t>.</w:t>
      </w:r>
      <w:r>
        <w:t xml:space="preserve"> When Jones came to the door, she explained her son had been driving the car. Officer Naert did not believe her</w:t>
      </w:r>
      <w:r w:rsidR="00E55FD9">
        <w:t xml:space="preserve">, and she insisted he </w:t>
      </w:r>
      <w:r>
        <w:t xml:space="preserve">check on her son. When Officer Naert told her he </w:t>
      </w:r>
      <w:r w:rsidR="00E55FD9">
        <w:t>thought</w:t>
      </w:r>
      <w:r>
        <w:t xml:space="preserve"> Jones was driving, Jones tried to leave to check on her son. At this point</w:t>
      </w:r>
      <w:r w:rsidR="00A738D0">
        <w:t xml:space="preserve">, Naert arrested her for disorderly conduct, citing a Michigan statute </w:t>
      </w:r>
      <w:r w:rsidR="00E55FD9">
        <w:t>prohibiting</w:t>
      </w:r>
      <w:r w:rsidR="00A738D0">
        <w:t xml:space="preserve"> such behavior. The statute does not criminalize public intoxication alone; it requires probable cause to believe that the individual would pose a danger to others.</w:t>
      </w:r>
      <w:r>
        <w:t xml:space="preserve"> </w:t>
      </w:r>
      <w:r w:rsidR="00E55FD9" w:rsidRPr="00E55FD9">
        <w:t>Jones sued Officer Naert under 42 U.S.C. § 1983, alleging that he violated her Fourth Amendment rights against false arrest and malicious prosecution.</w:t>
      </w:r>
    </w:p>
    <w:p w14:paraId="12B829F3" w14:textId="77777777" w:rsidR="00A738D0" w:rsidRDefault="00A738D0" w:rsidP="00A738D0"/>
    <w:p w14:paraId="3E2E12A3" w14:textId="440C6A57" w:rsidR="00A738D0" w:rsidRDefault="00A738D0" w:rsidP="00A738D0">
      <w:r>
        <w:t xml:space="preserve">The </w:t>
      </w:r>
      <w:r w:rsidR="00E55FD9">
        <w:t>district court</w:t>
      </w:r>
      <w:r>
        <w:t xml:space="preserve"> granted Officer Naert qualified immunity on Jones's false arrest claim, holding that he had probable cause for the arrest. The court also granted summary judgment on Jones's malicious prosecution claim, concluding that Naert did not participate in the decision to prosecute her. Jones appealed these decisions.</w:t>
      </w:r>
    </w:p>
    <w:p w14:paraId="088DDC5F" w14:textId="77777777" w:rsidR="00A738D0" w:rsidRDefault="00A738D0" w:rsidP="00A738D0"/>
    <w:p w14:paraId="2F0CB597" w14:textId="34DE8EEA" w:rsidR="002F20FF" w:rsidRDefault="00E55FD9" w:rsidP="00A738D0">
      <w:r>
        <w:t xml:space="preserve">On appeal, the </w:t>
      </w:r>
      <w:r w:rsidR="00A738D0">
        <w:t>Sixth Circuit held that Officer Naert lacked probable cause to arrest Jones for disorderly conduct. The court found that Jones's actions did not indicate she would pose a danger to others by walking a short distance while intoxicated. However, the court affirmed the district court's decision to grant Naert qualified immunity because Jones failed to show that the unlawfulness of the arrest was "clearly established" at the time. The court also affirmed the summary judgment on the malicious prosecution claim, as there was no evidence that Naert influenced the decision to prosecute Jones.</w:t>
      </w:r>
    </w:p>
    <w:p w14:paraId="34D28F7E" w14:textId="77777777" w:rsidR="00A738D0" w:rsidRDefault="00A738D0" w:rsidP="00A738D0"/>
    <w:p w14:paraId="48023DD7" w14:textId="77777777" w:rsidR="00A738D0" w:rsidRDefault="00A738D0" w:rsidP="00A738D0"/>
    <w:p w14:paraId="6774B1E4" w14:textId="77777777" w:rsidR="00E330EF" w:rsidRDefault="00E330EF">
      <w:pPr>
        <w:rPr>
          <w:b/>
          <w:bCs/>
        </w:rPr>
      </w:pPr>
      <w:r>
        <w:rPr>
          <w:b/>
          <w:bCs/>
        </w:rPr>
        <w:br w:type="page"/>
      </w:r>
    </w:p>
    <w:p w14:paraId="446CF4A0" w14:textId="744A74EE" w:rsidR="00A65CBA" w:rsidRPr="00A65CBA" w:rsidRDefault="00A65CBA" w:rsidP="00A65CBA">
      <w:pPr>
        <w:rPr>
          <w:b/>
          <w:bCs/>
        </w:rPr>
      </w:pPr>
      <w:r w:rsidRPr="00A65CBA">
        <w:rPr>
          <w:b/>
          <w:bCs/>
        </w:rPr>
        <w:lastRenderedPageBreak/>
        <w:t>U</w:t>
      </w:r>
      <w:r w:rsidR="00BF5197">
        <w:rPr>
          <w:b/>
          <w:bCs/>
        </w:rPr>
        <w:t>nited States</w:t>
      </w:r>
      <w:r w:rsidRPr="00A65CBA">
        <w:rPr>
          <w:b/>
          <w:bCs/>
        </w:rPr>
        <w:t xml:space="preserve"> v. Holmes</w:t>
      </w:r>
    </w:p>
    <w:p w14:paraId="22358BB1" w14:textId="79A92DFB" w:rsidR="00A65CBA" w:rsidRDefault="00A65CBA" w:rsidP="00A65CBA">
      <w:r>
        <w:t>US Court of Appeals for the Ninth Circuit</w:t>
      </w:r>
    </w:p>
    <w:p w14:paraId="7B3CD1E0" w14:textId="18AA6235" w:rsidR="00A65CBA" w:rsidRDefault="00A65CBA" w:rsidP="00A65CBA">
      <w:r w:rsidRPr="00A65CBA">
        <w:t>November 13, 2024</w:t>
      </w:r>
    </w:p>
    <w:p w14:paraId="674C70A3" w14:textId="77777777" w:rsidR="00A65CBA" w:rsidRDefault="00A65CBA" w:rsidP="00A65CBA">
      <w:r>
        <w:t>Docket: 22-10266</w:t>
      </w:r>
    </w:p>
    <w:p w14:paraId="7A8A1D90" w14:textId="77777777" w:rsidR="00A65CBA" w:rsidRDefault="00A65CBA" w:rsidP="00A65CBA"/>
    <w:p w14:paraId="775A4AF3" w14:textId="6051767F" w:rsidR="00A65CBA" w:rsidRPr="005634E3" w:rsidRDefault="00A65CBA" w:rsidP="00A65CBA">
      <w:pPr>
        <w:rPr>
          <w:i/>
          <w:iCs/>
        </w:rPr>
      </w:pPr>
      <w:r w:rsidRPr="005634E3">
        <w:rPr>
          <w:i/>
          <w:iCs/>
        </w:rPr>
        <w:t xml:space="preserve">LEO LAW Topics </w:t>
      </w:r>
      <w:r w:rsidR="005634E3" w:rsidRPr="005634E3">
        <w:rPr>
          <w:i/>
          <w:iCs/>
        </w:rPr>
        <w:t>1-1, 1-14, 4-7</w:t>
      </w:r>
      <w:r w:rsidRPr="005634E3">
        <w:rPr>
          <w:i/>
          <w:iCs/>
        </w:rPr>
        <w:t>:</w:t>
      </w:r>
      <w:r w:rsidR="005634E3" w:rsidRPr="005634E3">
        <w:rPr>
          <w:i/>
          <w:iCs/>
        </w:rPr>
        <w:t xml:space="preserve"> FBI Agent’s viewing of image files with known A1 hash values exceeded the scope of the actions of the Facebook employees and was therefore a search under the Fourth Amendment to which the inevitable discovery doctrine did not apply.</w:t>
      </w:r>
    </w:p>
    <w:p w14:paraId="5DFA37DF" w14:textId="77777777" w:rsidR="00A65CBA" w:rsidRDefault="00A65CBA" w:rsidP="00A65CBA"/>
    <w:p w14:paraId="633E5FEB" w14:textId="63FE9546" w:rsidR="00A65CBA" w:rsidRDefault="00A65CBA" w:rsidP="00A65CBA">
      <w:r>
        <w:t xml:space="preserve">The case involves a child-pornography investigation initiated by two </w:t>
      </w:r>
      <w:proofErr w:type="spellStart"/>
      <w:r>
        <w:t>CyberTipline</w:t>
      </w:r>
      <w:proofErr w:type="spellEnd"/>
      <w:r>
        <w:t xml:space="preserve"> Reports </w:t>
      </w:r>
      <w:r w:rsidR="00E43538">
        <w:t>that</w:t>
      </w:r>
      <w:r>
        <w:t xml:space="preserve"> the National Center for Missing and Exploited Children (NCMEC)</w:t>
      </w:r>
      <w:r w:rsidR="00E43538">
        <w:t xml:space="preserve"> forwarded to the FBI</w:t>
      </w:r>
      <w:r>
        <w:t xml:space="preserve">. </w:t>
      </w:r>
      <w:r w:rsidR="00E43538" w:rsidRPr="00E43538">
        <w:t xml:space="preserve">Investigating one of the tips, Special Agent Emily Steele viewed two images that NCMEC received from Facebook without a warrant. One of the images matched the digital identification of an image that was previously reported to NCMEC as depicting child exploitation. Viewing the images led Agent Steele to, among other things, obtain a search warrant for Holmes’s residence. Holmes was present during the </w:t>
      </w:r>
      <w:proofErr w:type="gramStart"/>
      <w:r w:rsidR="00E43538" w:rsidRPr="00E43538">
        <w:t>search,</w:t>
      </w:r>
      <w:proofErr w:type="gramEnd"/>
      <w:r w:rsidR="00E43538" w:rsidRPr="00E43538">
        <w:t xml:space="preserve"> </w:t>
      </w:r>
      <w:r w:rsidR="00E43538">
        <w:t xml:space="preserve">at which time </w:t>
      </w:r>
      <w:r w:rsidR="00E43538" w:rsidRPr="00E43538">
        <w:t>he made incriminating statements to law enforcement</w:t>
      </w:r>
      <w:r w:rsidR="00E43538">
        <w:t>. Furthermore, n</w:t>
      </w:r>
      <w:r w:rsidR="00E43538" w:rsidRPr="00E43538">
        <w:t>umerous illicit images were found on his cellphone.</w:t>
      </w:r>
      <w:r w:rsidR="00E43538">
        <w:t xml:space="preserve"> </w:t>
      </w:r>
      <w:r>
        <w:t xml:space="preserve">Holmes moved to suppress this evidence, arguing </w:t>
      </w:r>
      <w:r w:rsidR="00E43538">
        <w:t>that the evidence was obtained because Agent Steele unlawfully viewed the Facebook images</w:t>
      </w:r>
      <w:r>
        <w:t>.</w:t>
      </w:r>
      <w:r w:rsidR="00E43538">
        <w:t xml:space="preserve"> </w:t>
      </w:r>
      <w:r w:rsidR="00E43538" w:rsidRPr="00E43538">
        <w:t xml:space="preserve">The Government did not dispute that Agent Steele unlawfully viewed these images, but argued that suppression </w:t>
      </w:r>
      <w:r w:rsidR="00E43538">
        <w:t>wa</w:t>
      </w:r>
      <w:r w:rsidR="00E43538" w:rsidRPr="00E43538">
        <w:t xml:space="preserve">s unwarranted because two exceptions to the Fourth Amendment’s warrant requirement apply: officer good faith </w:t>
      </w:r>
      <w:r w:rsidR="00E43538">
        <w:t xml:space="preserve">exception </w:t>
      </w:r>
      <w:r w:rsidR="00E43538" w:rsidRPr="00E43538">
        <w:t xml:space="preserve">and </w:t>
      </w:r>
      <w:r w:rsidR="00E43538">
        <w:t xml:space="preserve">the </w:t>
      </w:r>
      <w:r w:rsidR="00E43538" w:rsidRPr="00E43538">
        <w:t>inevitable discovery</w:t>
      </w:r>
      <w:r w:rsidR="00E43538">
        <w:t xml:space="preserve"> doctrine</w:t>
      </w:r>
      <w:r w:rsidR="00E43538" w:rsidRPr="00E43538">
        <w:t>.</w:t>
      </w:r>
    </w:p>
    <w:p w14:paraId="6AF2A883" w14:textId="77777777" w:rsidR="00A65CBA" w:rsidRDefault="00A65CBA" w:rsidP="00A65CBA"/>
    <w:p w14:paraId="7A37AA3D" w14:textId="45496E35" w:rsidR="00A65CBA" w:rsidRDefault="00A65CBA" w:rsidP="00A65CBA">
      <w:r>
        <w:t xml:space="preserve">The </w:t>
      </w:r>
      <w:r w:rsidR="00E43538">
        <w:t>District Court</w:t>
      </w:r>
      <w:r>
        <w:t xml:space="preserve"> denied Holmes's motion to suppress, concluding that the good-faith exception applied to Agent Steele’s viewing of the hash-matched image</w:t>
      </w:r>
      <w:r w:rsidR="00E43538">
        <w:t>,</w:t>
      </w:r>
      <w:r>
        <w:t xml:space="preserve"> and that the inevitable-discovery exception applied because Agent Rose would have inevitably discovered the same evidence through routine procedures.</w:t>
      </w:r>
    </w:p>
    <w:p w14:paraId="448AE1B8" w14:textId="77777777" w:rsidR="00A65CBA" w:rsidRDefault="00A65CBA" w:rsidP="00A65CBA"/>
    <w:p w14:paraId="4BD31B29" w14:textId="3E955FF8" w:rsidR="00A65CBA" w:rsidRDefault="00E43538" w:rsidP="00A65CBA">
      <w:r>
        <w:t xml:space="preserve">On appeal, the Ninth Circuit disagreed and </w:t>
      </w:r>
      <w:r w:rsidR="00A65CBA">
        <w:t>reversed the district court’s decision. The court held that the good-faith exception did not apply because the existing precedent was contradictory and only plausibly supported Agent Steele’s warrantless viewing of the images. The court also rejected the inevitable-discovery exception, finding that the Government failed to prove that Agent Rose would have inevitably discovered the same evidence through lawful means</w:t>
      </w:r>
      <w:r>
        <w:t xml:space="preserve"> in a separate but parallel investigation</w:t>
      </w:r>
      <w:r w:rsidR="00A65CBA">
        <w:t>. The court noted that Agent Rose’s investigation was not as urgent or thorough as Agent Steele’s, and there was no certainty that Holmes would have been present during a hypothetical search by Agent Rose. Consequently, the Ninth Circuit reversed the district court’s denial of Holmes’s motion to suppress and remanded the case for further proceedings.</w:t>
      </w:r>
    </w:p>
    <w:p w14:paraId="4DEADA84" w14:textId="77777777" w:rsidR="00A65CBA" w:rsidRDefault="00A65CBA" w:rsidP="00A738D0"/>
    <w:p w14:paraId="66585C34" w14:textId="77777777" w:rsidR="00E330EF" w:rsidRDefault="00E330EF">
      <w:pPr>
        <w:rPr>
          <w:b/>
          <w:bCs/>
        </w:rPr>
      </w:pPr>
      <w:r>
        <w:rPr>
          <w:b/>
          <w:bCs/>
        </w:rPr>
        <w:br w:type="page"/>
      </w:r>
    </w:p>
    <w:p w14:paraId="0653CCA0" w14:textId="02D9532B" w:rsidR="00A65CBA" w:rsidRPr="00790E54" w:rsidRDefault="00A65CBA" w:rsidP="00A738D0">
      <w:pPr>
        <w:rPr>
          <w:b/>
          <w:bCs/>
        </w:rPr>
      </w:pPr>
      <w:r w:rsidRPr="00790E54">
        <w:rPr>
          <w:b/>
          <w:bCs/>
        </w:rPr>
        <w:lastRenderedPageBreak/>
        <w:t>STATE CASES</w:t>
      </w:r>
    </w:p>
    <w:p w14:paraId="32698AFF" w14:textId="77777777" w:rsidR="00A65CBA" w:rsidRDefault="00A65CBA" w:rsidP="00A738D0"/>
    <w:p w14:paraId="62D70F50" w14:textId="00F941E1" w:rsidR="00A65CBA" w:rsidRPr="00A65CBA" w:rsidRDefault="00A65CBA" w:rsidP="00A65CBA">
      <w:pPr>
        <w:rPr>
          <w:b/>
          <w:bCs/>
        </w:rPr>
      </w:pPr>
      <w:r w:rsidRPr="00A65CBA">
        <w:rPr>
          <w:b/>
          <w:bCs/>
        </w:rPr>
        <w:t>S</w:t>
      </w:r>
      <w:r w:rsidR="00790E54">
        <w:rPr>
          <w:b/>
          <w:bCs/>
        </w:rPr>
        <w:t>tate v. Johnson</w:t>
      </w:r>
    </w:p>
    <w:p w14:paraId="394DC1E5" w14:textId="02C69A7C" w:rsidR="00A65CBA" w:rsidRDefault="00A65CBA" w:rsidP="00A65CBA">
      <w:r>
        <w:t>Texas Court of Criminal Appeals</w:t>
      </w:r>
    </w:p>
    <w:p w14:paraId="7A93D754" w14:textId="18213761" w:rsidR="00A65CBA" w:rsidRDefault="00A65CBA" w:rsidP="00A65CBA">
      <w:r>
        <w:t>November 13, 2024</w:t>
      </w:r>
    </w:p>
    <w:p w14:paraId="14B8AEE0" w14:textId="77777777" w:rsidR="00A65CBA" w:rsidRDefault="00A65CBA" w:rsidP="00A65CBA"/>
    <w:p w14:paraId="143AF662" w14:textId="04CF12A0" w:rsidR="00A65CBA" w:rsidRPr="005634E3" w:rsidRDefault="00A65CBA" w:rsidP="00A65CBA">
      <w:pPr>
        <w:rPr>
          <w:i/>
          <w:iCs/>
        </w:rPr>
      </w:pPr>
      <w:r w:rsidRPr="005634E3">
        <w:rPr>
          <w:i/>
          <w:iCs/>
        </w:rPr>
        <w:t>LEO LAW Topic</w:t>
      </w:r>
      <w:r w:rsidR="005634E3" w:rsidRPr="005634E3">
        <w:rPr>
          <w:i/>
          <w:iCs/>
        </w:rPr>
        <w:t xml:space="preserve"> 7-7</w:t>
      </w:r>
      <w:r w:rsidRPr="005634E3">
        <w:rPr>
          <w:i/>
          <w:iCs/>
        </w:rPr>
        <w:t xml:space="preserve">: </w:t>
      </w:r>
      <w:r w:rsidR="005634E3" w:rsidRPr="005634E3">
        <w:rPr>
          <w:i/>
          <w:iCs/>
        </w:rPr>
        <w:t>The defendant’s statement “I need to talk to a lawyer” made hours before his interrogation was an ineffective anticipatory invocation of rights.</w:t>
      </w:r>
    </w:p>
    <w:p w14:paraId="350AC619" w14:textId="77777777" w:rsidR="00A65CBA" w:rsidRDefault="00A65CBA" w:rsidP="00A65CBA"/>
    <w:p w14:paraId="795E8545" w14:textId="3909F20E" w:rsidR="00A65CBA" w:rsidRDefault="00A65CBA" w:rsidP="00A65CBA">
      <w:r>
        <w:t>Sedrick Johnson</w:t>
      </w:r>
      <w:r w:rsidR="005634E3">
        <w:t xml:space="preserve"> </w:t>
      </w:r>
      <w:r>
        <w:t xml:space="preserve">was arrested on outstanding warrants. </w:t>
      </w:r>
      <w:r w:rsidR="005634E3">
        <w:t xml:space="preserve">After his arrest but hours before he was questioned, </w:t>
      </w:r>
      <w:r>
        <w:t xml:space="preserve">Johnson stated, "I need to talk to a lawyer." Later, </w:t>
      </w:r>
      <w:r w:rsidR="005634E3">
        <w:t xml:space="preserve">Johnson was given </w:t>
      </w:r>
      <w:r>
        <w:t xml:space="preserve">Miranda warnings and </w:t>
      </w:r>
      <w:r w:rsidR="005634E3">
        <w:t xml:space="preserve">he waived his rights and </w:t>
      </w:r>
      <w:r>
        <w:t>was questioned by the police about a missing child, Junior, who lived with Johnson and his girlfriend. Johnson eventually led the police to Junior's body, and he was charged with injury to a child by omission and capital murder of a child under ten years of age. Johnson moved to suppress his statements and evidence obtained as a result.</w:t>
      </w:r>
    </w:p>
    <w:p w14:paraId="3A2BA041" w14:textId="77777777" w:rsidR="00A65CBA" w:rsidRDefault="00A65CBA" w:rsidP="00A65CBA"/>
    <w:p w14:paraId="36AF9E94" w14:textId="77777777" w:rsidR="00A65CBA" w:rsidRDefault="00A65CBA" w:rsidP="00A65CBA">
      <w:r>
        <w:t>The trial court granted Johnson's motion to suppress, finding that his statement, "I need to talk to a lawyer," was an unambiguous invocation of his right to counsel. The court of appeals affirmed, concluding that Johnson was subjected to custodial interrogation and that his right to counsel was violated when police questioned him after his invocation.</w:t>
      </w:r>
    </w:p>
    <w:p w14:paraId="0A6359C1" w14:textId="77777777" w:rsidR="00A65CBA" w:rsidRDefault="00A65CBA" w:rsidP="00A65CBA"/>
    <w:p w14:paraId="07553DCA" w14:textId="13847B9A" w:rsidR="00A65CBA" w:rsidRDefault="005634E3" w:rsidP="00A65CBA">
      <w:r>
        <w:t>On appeal, t</w:t>
      </w:r>
      <w:r w:rsidR="00A65CBA">
        <w:t xml:space="preserve">he Court of Criminal Appeals of Texas held that the right to counsel under Miranda cannot be invoked anticipatorily, meaning it cannot be invoked before custodial interrogation begins. Since Johnson was not in custody when he initially requested a lawyer and was given Miranda warnings before any custodial interrogation commenced, his subsequent waiver of rights and statements to the police were valid. The court emphasized that the police complied with Miranda by providing the warnings before the custodial interrogation and that Johnson had the opportunity to invoke his right to counsel at that time but chose not to. </w:t>
      </w:r>
      <w:r>
        <w:t>Accordingly, t</w:t>
      </w:r>
      <w:r w:rsidR="00A65CBA">
        <w:t xml:space="preserve">he </w:t>
      </w:r>
      <w:r>
        <w:t xml:space="preserve">court reversed the lower court's suppression ruling and </w:t>
      </w:r>
      <w:r w:rsidR="00A65CBA">
        <w:t>remanded t</w:t>
      </w:r>
      <w:r>
        <w:t>he</w:t>
      </w:r>
      <w:r w:rsidR="00A65CBA">
        <w:t xml:space="preserve"> </w:t>
      </w:r>
      <w:r>
        <w:t xml:space="preserve">case to </w:t>
      </w:r>
      <w:r w:rsidR="00A65CBA">
        <w:t>the trial court.</w:t>
      </w:r>
    </w:p>
    <w:p w14:paraId="0C9891B8" w14:textId="77777777" w:rsidR="00A65CBA" w:rsidRDefault="00A65CBA" w:rsidP="00A738D0"/>
    <w:p w14:paraId="2A42D376" w14:textId="77777777" w:rsidR="00A65CBA" w:rsidRDefault="00A65CBA" w:rsidP="00A738D0"/>
    <w:p w14:paraId="4220C700" w14:textId="77777777" w:rsidR="00E330EF" w:rsidRDefault="00E330EF">
      <w:r>
        <w:br w:type="page"/>
      </w:r>
    </w:p>
    <w:p w14:paraId="6BF663B8" w14:textId="66D630F3" w:rsidR="00A65CBA" w:rsidRDefault="00A65CBA" w:rsidP="00A738D0">
      <w:r>
        <w:lastRenderedPageBreak/>
        <w:t>USE OF FORCE</w:t>
      </w:r>
    </w:p>
    <w:p w14:paraId="5C54A4F1" w14:textId="77777777" w:rsidR="00A738D0" w:rsidRDefault="00A738D0" w:rsidP="00A738D0"/>
    <w:p w14:paraId="7A938EA0" w14:textId="4D3C6B6A" w:rsidR="00A738D0" w:rsidRPr="00A738D0" w:rsidRDefault="00A738D0" w:rsidP="00A738D0">
      <w:pPr>
        <w:rPr>
          <w:b/>
          <w:bCs/>
        </w:rPr>
      </w:pPr>
      <w:r w:rsidRPr="00A738D0">
        <w:rPr>
          <w:b/>
          <w:bCs/>
        </w:rPr>
        <w:t>Baxter v. Hendren</w:t>
      </w:r>
    </w:p>
    <w:p w14:paraId="132F8575" w14:textId="0FD77BF1" w:rsidR="00A738D0" w:rsidRDefault="00A738D0" w:rsidP="00A738D0">
      <w:r>
        <w:t>US Court of Appeals for the Eleventh Circuit</w:t>
      </w:r>
    </w:p>
    <w:p w14:paraId="211F91DA" w14:textId="02662861" w:rsidR="00A738D0" w:rsidRDefault="00A738D0" w:rsidP="00A738D0">
      <w:r w:rsidRPr="00A738D0">
        <w:t>November 13, 2024</w:t>
      </w:r>
    </w:p>
    <w:p w14:paraId="532B2273" w14:textId="77777777" w:rsidR="00A738D0" w:rsidRDefault="00A738D0" w:rsidP="00A738D0">
      <w:r>
        <w:t>Docket: 23-11902</w:t>
      </w:r>
    </w:p>
    <w:p w14:paraId="38D56FD8" w14:textId="77777777" w:rsidR="00A738D0" w:rsidRDefault="00A738D0" w:rsidP="00A738D0"/>
    <w:p w14:paraId="0D831B00" w14:textId="63D88417" w:rsidR="00A738D0" w:rsidRPr="00790E54" w:rsidRDefault="00A738D0" w:rsidP="00A738D0">
      <w:pPr>
        <w:rPr>
          <w:i/>
          <w:iCs/>
        </w:rPr>
      </w:pPr>
      <w:r w:rsidRPr="00790E54">
        <w:rPr>
          <w:i/>
          <w:iCs/>
        </w:rPr>
        <w:t xml:space="preserve">LEO LAW Topics </w:t>
      </w:r>
      <w:r w:rsidR="00790E54" w:rsidRPr="00790E54">
        <w:rPr>
          <w:i/>
          <w:iCs/>
        </w:rPr>
        <w:t>8-3</w:t>
      </w:r>
      <w:r w:rsidRPr="00790E54">
        <w:rPr>
          <w:i/>
          <w:iCs/>
        </w:rPr>
        <w:t>:</w:t>
      </w:r>
      <w:r w:rsidR="00790E54" w:rsidRPr="00790E54">
        <w:rPr>
          <w:i/>
          <w:iCs/>
        </w:rPr>
        <w:t xml:space="preserve"> The Deputy’s use of deadly force by firing into a vehicle was reasonable since he had probable cause to believe that his life was in danger when the vehicle accelerated toward</w:t>
      </w:r>
      <w:r w:rsidR="00790E54" w:rsidRPr="00790E54">
        <w:rPr>
          <w:i/>
          <w:iCs/>
        </w:rPr>
        <w:t xml:space="preserve"> him. </w:t>
      </w:r>
    </w:p>
    <w:p w14:paraId="79AF8F23" w14:textId="77777777" w:rsidR="00A738D0" w:rsidRDefault="00A738D0" w:rsidP="00A738D0"/>
    <w:p w14:paraId="5F131E22" w14:textId="03C62F51" w:rsidR="00A738D0" w:rsidRDefault="00A738D0" w:rsidP="00A738D0">
      <w:r>
        <w:t xml:space="preserve">The case involves a fatal shooting </w:t>
      </w:r>
      <w:r w:rsidR="00790E54">
        <w:t>in which</w:t>
      </w:r>
      <w:r>
        <w:t xml:space="preserve"> Deputy Jafet Santiago-Miranda</w:t>
      </w:r>
      <w:r w:rsidR="00790E54">
        <w:t xml:space="preserve"> </w:t>
      </w:r>
      <w:r>
        <w:t xml:space="preserve">fired his weapon into a moving vehicle, killing Angelo Crooms and Sincere Pierce. The plaintiffs, representing the estates of the deceased, claimed that </w:t>
      </w:r>
      <w:r w:rsidR="00790E54">
        <w:t xml:space="preserve">Deputy </w:t>
      </w:r>
      <w:r>
        <w:t>Santiago-Miranda used excessive force, failed to render medical aid, and committed state-law battery. They also raised claims against Deputy Carson Hendren and Sheriff Wayne Ivey. The incident occurred after the deputies pursued a vehicle they believed to be stolen, which then accelerated towards Santiago-Miranda, prompting him to fire his weapon.</w:t>
      </w:r>
    </w:p>
    <w:p w14:paraId="7B77F842" w14:textId="77777777" w:rsidR="00A738D0" w:rsidRDefault="00A738D0" w:rsidP="00A738D0"/>
    <w:p w14:paraId="447BEA1F" w14:textId="148BFE6B" w:rsidR="00A738D0" w:rsidRDefault="00A738D0" w:rsidP="00A738D0">
      <w:r>
        <w:t xml:space="preserve">The </w:t>
      </w:r>
      <w:r w:rsidR="00790E54">
        <w:t>district court</w:t>
      </w:r>
      <w:r>
        <w:t xml:space="preserve"> granted summary judgment in favor of the defendants. The court dismissed all claims against Hendren with prejudice and ruled that Santiago-Miranda's use of force was constitutionally permissible. The plaintiffs appealed the summary judgment decision regarding Santiago-Miranda and Sheriff Ivey.</w:t>
      </w:r>
    </w:p>
    <w:p w14:paraId="60D181B3" w14:textId="77777777" w:rsidR="00A738D0" w:rsidRDefault="00A738D0" w:rsidP="00A738D0"/>
    <w:p w14:paraId="1A3D544D" w14:textId="4DA27788" w:rsidR="00A738D0" w:rsidRDefault="00790E54" w:rsidP="00A738D0">
      <w:r>
        <w:t xml:space="preserve">On appeal, the </w:t>
      </w:r>
      <w:r w:rsidR="00A738D0">
        <w:t>Eleventh Circuit affirmed the district court's decision</w:t>
      </w:r>
      <w:r>
        <w:t xml:space="preserve">, holding </w:t>
      </w:r>
      <w:r w:rsidR="00A738D0">
        <w:t>that Santiago-Miranda's use of deadly force was reasonable under the circumstances, as he had probable cause to believe that his life was in danger when the vehicle accelerated towards him. The court also found that the plaintiffs' state law battery claims failed for the same reasons. Additionally, the court affirmed the summary judgment in favor of Sheriff Ivey on the Monell claims, as there was no underlying constitutional violation by Santiago-Miranda.</w:t>
      </w:r>
    </w:p>
    <w:p w14:paraId="453CF804" w14:textId="77777777" w:rsidR="00A738D0" w:rsidRDefault="00A738D0" w:rsidP="00A738D0"/>
    <w:p w14:paraId="5573D462" w14:textId="77777777" w:rsidR="00A738D0" w:rsidRDefault="00A738D0" w:rsidP="00A738D0"/>
    <w:p w14:paraId="53FAE1ED" w14:textId="7E7F13FA" w:rsidR="00A738D0" w:rsidRDefault="00790E54" w:rsidP="00790E54">
      <w:r w:rsidRPr="00790E54">
        <w:t xml:space="preserve">The photograph below shows the cruisers blocking the entrance/exit of Stetson Drive with Santiago-Miranda’s cruiser on the right. At this time, the Passat is still in the driveway of the first house on the right on Stetson Drive. </w:t>
      </w:r>
    </w:p>
    <w:p w14:paraId="0672D308" w14:textId="2D942DF1" w:rsidR="00790E54" w:rsidRDefault="00790E54" w:rsidP="00790E54">
      <w:r w:rsidRPr="00790E54">
        <w:rPr>
          <w:noProof/>
        </w:rPr>
        <w:drawing>
          <wp:inline distT="0" distB="0" distL="0" distR="0" wp14:anchorId="36F8A97C" wp14:editId="545A7700">
            <wp:extent cx="5895975" cy="2409825"/>
            <wp:effectExtent l="0" t="0" r="9525" b="9525"/>
            <wp:docPr id="13240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5975" cy="2409825"/>
                    </a:xfrm>
                    <a:prstGeom prst="rect">
                      <a:avLst/>
                    </a:prstGeom>
                    <a:noFill/>
                    <a:ln>
                      <a:noFill/>
                    </a:ln>
                  </pic:spPr>
                </pic:pic>
              </a:graphicData>
            </a:graphic>
          </wp:inline>
        </w:drawing>
      </w:r>
    </w:p>
    <w:sectPr w:rsidR="00790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0FF"/>
    <w:rsid w:val="001B1D20"/>
    <w:rsid w:val="002F20FF"/>
    <w:rsid w:val="003D665D"/>
    <w:rsid w:val="004D19B2"/>
    <w:rsid w:val="00533A48"/>
    <w:rsid w:val="005634E3"/>
    <w:rsid w:val="005D2456"/>
    <w:rsid w:val="00790E54"/>
    <w:rsid w:val="00A65CBA"/>
    <w:rsid w:val="00A738D0"/>
    <w:rsid w:val="00B304ED"/>
    <w:rsid w:val="00BF5197"/>
    <w:rsid w:val="00E330EF"/>
    <w:rsid w:val="00E43538"/>
    <w:rsid w:val="00E5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9E642"/>
  <w15:chartTrackingRefBased/>
  <w15:docId w15:val="{E174CEE9-BAE5-4179-AC05-B03C377B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1407</Words>
  <Characters>7599</Characters>
  <Application>Microsoft Office Word</Application>
  <DocSecurity>0</DocSecurity>
  <Lines>140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2024-11-15T20:27:00Z</dcterms:created>
  <dcterms:modified xsi:type="dcterms:W3CDTF">2024-11-18T18:25:00Z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8857dee0-f702-4ad9-b774-f75b8d0051cd</vt:lpwstr>
  </property>
</Properties>
</file>