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F50D" w14:textId="53305138" w:rsidR="00533A48" w:rsidRDefault="003863BB">
      <w:r>
        <w:t>BF10 7MAR2025</w:t>
      </w:r>
    </w:p>
    <w:p w14:paraId="0828B44E" w14:textId="77777777" w:rsidR="003863BB" w:rsidRDefault="003863BB"/>
    <w:p w14:paraId="6E29051B" w14:textId="5DC25BE0" w:rsidR="00AA5096" w:rsidRDefault="00C86B83" w:rsidP="00AA5096">
      <w:r>
        <w:t xml:space="preserve">FOURTH CIRCUIT </w:t>
      </w:r>
    </w:p>
    <w:p w14:paraId="61BB7DB3" w14:textId="77777777" w:rsidR="00C86B83" w:rsidRDefault="00C86B83" w:rsidP="00AA5096"/>
    <w:p w14:paraId="7BFF69AC" w14:textId="77777777" w:rsidR="00C86B83" w:rsidRPr="00C86B83" w:rsidRDefault="00C86B83" w:rsidP="00C86B83">
      <w:pPr>
        <w:rPr>
          <w:b/>
          <w:bCs/>
        </w:rPr>
      </w:pPr>
      <w:r w:rsidRPr="00C86B83">
        <w:rPr>
          <w:b/>
          <w:bCs/>
        </w:rPr>
        <w:t>United States v. Williams</w:t>
      </w:r>
    </w:p>
    <w:p w14:paraId="7ADDE5A2" w14:textId="1D18684C" w:rsidR="00C86B83" w:rsidRDefault="00C86B83" w:rsidP="00C86B83">
      <w:r>
        <w:t>U.S. Court of Appeals for the Fourth Circuit</w:t>
      </w:r>
    </w:p>
    <w:p w14:paraId="2DBF67A5" w14:textId="31043100" w:rsidR="00C86B83" w:rsidRDefault="00C86B83" w:rsidP="00C86B83">
      <w:r w:rsidRPr="00C86B83">
        <w:t>March 4, 2025</w:t>
      </w:r>
    </w:p>
    <w:p w14:paraId="22F7FF15" w14:textId="77777777" w:rsidR="00C86B83" w:rsidRDefault="00C86B83" w:rsidP="00C86B83">
      <w:r>
        <w:t>Docket: 23-4568</w:t>
      </w:r>
    </w:p>
    <w:p w14:paraId="1F018FD0" w14:textId="77777777" w:rsidR="00C86B83" w:rsidRDefault="00C86B83" w:rsidP="00C86B83"/>
    <w:p w14:paraId="3F486A65" w14:textId="60195C14" w:rsidR="00C86B83" w:rsidRPr="00F50F58" w:rsidRDefault="00C86B83" w:rsidP="00C86B83">
      <w:pPr>
        <w:rPr>
          <w:i/>
          <w:iCs/>
        </w:rPr>
      </w:pPr>
      <w:r w:rsidRPr="00F50F58">
        <w:rPr>
          <w:i/>
          <w:iCs/>
        </w:rPr>
        <w:t>LEO LAW Topics</w:t>
      </w:r>
      <w:r w:rsidR="00F50F58" w:rsidRPr="00F50F58">
        <w:rPr>
          <w:i/>
          <w:iCs/>
        </w:rPr>
        <w:t xml:space="preserve"> 1-9, 4-3</w:t>
      </w:r>
      <w:r w:rsidRPr="00F50F58">
        <w:rPr>
          <w:i/>
          <w:iCs/>
        </w:rPr>
        <w:t xml:space="preserve">: </w:t>
      </w:r>
      <w:r w:rsidR="00F50F58" w:rsidRPr="00F50F58">
        <w:rPr>
          <w:i/>
          <w:iCs/>
        </w:rPr>
        <w:t>E</w:t>
      </w:r>
      <w:r w:rsidR="00D9486F" w:rsidRPr="00F50F58">
        <w:rPr>
          <w:i/>
          <w:iCs/>
        </w:rPr>
        <w:t xml:space="preserve">xigent circumstances excused </w:t>
      </w:r>
      <w:r w:rsidR="00F50F58" w:rsidRPr="00F50F58">
        <w:rPr>
          <w:i/>
          <w:iCs/>
        </w:rPr>
        <w:t xml:space="preserve">the </w:t>
      </w:r>
      <w:r w:rsidRPr="00F50F58">
        <w:rPr>
          <w:i/>
          <w:iCs/>
        </w:rPr>
        <w:t>no</w:t>
      </w:r>
      <w:r w:rsidR="00F50F58">
        <w:rPr>
          <w:i/>
          <w:iCs/>
        </w:rPr>
        <w:t>-</w:t>
      </w:r>
      <w:r w:rsidRPr="00F50F58">
        <w:rPr>
          <w:i/>
          <w:iCs/>
        </w:rPr>
        <w:t>knock entry</w:t>
      </w:r>
      <w:r w:rsidR="00F50F58" w:rsidRPr="00F50F58">
        <w:rPr>
          <w:i/>
          <w:iCs/>
        </w:rPr>
        <w:t xml:space="preserve">, precluding a formal decision on whether the exclusionary rule applies to </w:t>
      </w:r>
      <w:r w:rsidR="00D9486F" w:rsidRPr="00F50F58">
        <w:rPr>
          <w:i/>
          <w:iCs/>
        </w:rPr>
        <w:t>3109</w:t>
      </w:r>
      <w:r w:rsidR="00F50F58" w:rsidRPr="00F50F58">
        <w:rPr>
          <w:i/>
          <w:iCs/>
        </w:rPr>
        <w:t xml:space="preserve"> knock and </w:t>
      </w:r>
      <w:proofErr w:type="gramStart"/>
      <w:r w:rsidR="00F50F58" w:rsidRPr="00F50F58">
        <w:rPr>
          <w:i/>
          <w:iCs/>
        </w:rPr>
        <w:t>announce</w:t>
      </w:r>
      <w:proofErr w:type="gramEnd"/>
      <w:r w:rsidR="00F50F58" w:rsidRPr="00F50F58">
        <w:rPr>
          <w:i/>
          <w:iCs/>
        </w:rPr>
        <w:t xml:space="preserve"> violations.</w:t>
      </w:r>
    </w:p>
    <w:p w14:paraId="58267F94" w14:textId="77777777" w:rsidR="00C86B83" w:rsidRPr="00F50F58" w:rsidRDefault="00C86B83" w:rsidP="00C86B83">
      <w:pPr>
        <w:rPr>
          <w:i/>
          <w:iCs/>
        </w:rPr>
      </w:pPr>
    </w:p>
    <w:p w14:paraId="57F93744" w14:textId="77777777" w:rsidR="00C86B83" w:rsidRDefault="00C86B83" w:rsidP="00C86B83">
      <w:r>
        <w:t xml:space="preserve">A father, Scott Williams, and his son, </w:t>
      </w:r>
      <w:proofErr w:type="spellStart"/>
      <w:r>
        <w:t>Taeyan</w:t>
      </w:r>
      <w:proofErr w:type="spellEnd"/>
      <w:r>
        <w:t xml:space="preserve"> Williams, were convicted by a federal jury of various drug-related offenses, including conspiracy to distribute and possess with intent to distribute marijuana and cocaine. The case stemmed from an investigation into the disappearance of a drug dealer, Noah Smothers, who supplied drugs to Scott and </w:t>
      </w:r>
      <w:proofErr w:type="spellStart"/>
      <w:r>
        <w:t>Taeyan</w:t>
      </w:r>
      <w:proofErr w:type="spellEnd"/>
      <w:r>
        <w:t xml:space="preserve">. A search of Scott's home revealed large quantities of drugs, firearms, and cash. Both Scott and </w:t>
      </w:r>
      <w:proofErr w:type="spellStart"/>
      <w:r>
        <w:t>Taeyan</w:t>
      </w:r>
      <w:proofErr w:type="spellEnd"/>
      <w:r>
        <w:t xml:space="preserve"> were found guilty of conspiracy and possession with intent to distribute, while Scott was also convicted of additional charges related to methamphetamine and evidence destruction.</w:t>
      </w:r>
    </w:p>
    <w:p w14:paraId="0ECA1821" w14:textId="77777777" w:rsidR="00C86B83" w:rsidRDefault="00C86B83" w:rsidP="00C86B83"/>
    <w:p w14:paraId="7A0C5718" w14:textId="3A84E28D" w:rsidR="00C86B83" w:rsidRDefault="00C86B83" w:rsidP="00C86B83">
      <w:r>
        <w:t xml:space="preserve">The United States District Court for the District of Maryland denied Scott's motion to suppress evidence obtained from the search, despite his claim that law enforcement failed to knock and announce before entering. The court held that suppression was not the appropriate remedy. </w:t>
      </w:r>
      <w:r w:rsidR="00D9486F">
        <w:t>Scott appealed.</w:t>
      </w:r>
    </w:p>
    <w:p w14:paraId="46761AE5" w14:textId="77777777" w:rsidR="00C86B83" w:rsidRDefault="00C86B83" w:rsidP="00C86B83"/>
    <w:p w14:paraId="4755AF0B" w14:textId="1BB24DD0" w:rsidR="00C86B83" w:rsidRDefault="00C86B83" w:rsidP="00C86B83">
      <w:r>
        <w:t xml:space="preserve">The United States Court of Appeals for the Fourth Circuit upheld the district court's denial of Scott's motion to suppress, citing exigent circumstances that justified the no-knock entry. </w:t>
      </w:r>
    </w:p>
    <w:p w14:paraId="6C70E5A7" w14:textId="77777777" w:rsidR="00C86B83" w:rsidRDefault="00C86B83" w:rsidP="00AA5096"/>
    <w:p w14:paraId="72F69605" w14:textId="6F801F08" w:rsidR="00C86B83" w:rsidRDefault="00D9486F" w:rsidP="00AA5096">
      <w:hyperlink r:id="rId4" w:history="1">
        <w:r w:rsidRPr="002A72BE">
          <w:rPr>
            <w:rStyle w:val="Hyperlink"/>
          </w:rPr>
          <w:t>https://cases.justia.com/federal/appellate-courts/ca4/23-4568/23-4568-2025-03-04.pdf</w:t>
        </w:r>
      </w:hyperlink>
    </w:p>
    <w:p w14:paraId="2C0E6715" w14:textId="77777777" w:rsidR="00C86B83" w:rsidRDefault="00C86B83" w:rsidP="00AA5096"/>
    <w:p w14:paraId="2FE9A566" w14:textId="77777777" w:rsidR="00C86B83" w:rsidRDefault="00C86B83" w:rsidP="00AA5096"/>
    <w:p w14:paraId="7A1A8BC4" w14:textId="6A36AA41" w:rsidR="00AA5096" w:rsidRDefault="00362AAB" w:rsidP="00AA5096">
      <w:r>
        <w:t xml:space="preserve">FIFTH CIRCUIT </w:t>
      </w:r>
    </w:p>
    <w:p w14:paraId="64B17739" w14:textId="77777777" w:rsidR="00362AAB" w:rsidRDefault="00362AAB" w:rsidP="00AA5096"/>
    <w:p w14:paraId="4705BBAF" w14:textId="77777777" w:rsidR="00362AAB" w:rsidRPr="00362AAB" w:rsidRDefault="00362AAB" w:rsidP="00362AAB">
      <w:pPr>
        <w:rPr>
          <w:b/>
          <w:bCs/>
        </w:rPr>
      </w:pPr>
      <w:r w:rsidRPr="00362AAB">
        <w:rPr>
          <w:b/>
          <w:bCs/>
        </w:rPr>
        <w:t>Green v. Thomas</w:t>
      </w:r>
    </w:p>
    <w:p w14:paraId="489E2EF5" w14:textId="7ACFA902" w:rsidR="00362AAB" w:rsidRDefault="00362AAB" w:rsidP="00362AAB">
      <w:r>
        <w:t>U.S. Court of Appeals for the Fifth Circuit</w:t>
      </w:r>
    </w:p>
    <w:p w14:paraId="777C38C1" w14:textId="23A684BD" w:rsidR="00362AAB" w:rsidRDefault="00362AAB" w:rsidP="00362AAB">
      <w:r w:rsidRPr="00362AAB">
        <w:t>March 3, 2025</w:t>
      </w:r>
    </w:p>
    <w:p w14:paraId="739A3673" w14:textId="77777777" w:rsidR="00362AAB" w:rsidRDefault="00362AAB" w:rsidP="00362AAB">
      <w:r>
        <w:t>Docket: 24-60314</w:t>
      </w:r>
    </w:p>
    <w:p w14:paraId="7E27E12B" w14:textId="77777777" w:rsidR="00362AAB" w:rsidRDefault="00362AAB" w:rsidP="00362AAB"/>
    <w:p w14:paraId="003554F8" w14:textId="02A50288" w:rsidR="00362AAB" w:rsidRPr="00F70320" w:rsidRDefault="00362AAB" w:rsidP="00362AAB">
      <w:pPr>
        <w:rPr>
          <w:i/>
          <w:iCs/>
        </w:rPr>
      </w:pPr>
      <w:r w:rsidRPr="00F70320">
        <w:rPr>
          <w:i/>
          <w:iCs/>
        </w:rPr>
        <w:t>LEO LAW Topics</w:t>
      </w:r>
      <w:r w:rsidR="00F70320" w:rsidRPr="00F70320">
        <w:rPr>
          <w:i/>
          <w:iCs/>
        </w:rPr>
        <w:t xml:space="preserve"> 9-12, 9-1, 3-5</w:t>
      </w:r>
      <w:r w:rsidRPr="00F70320">
        <w:rPr>
          <w:i/>
          <w:iCs/>
        </w:rPr>
        <w:t>:</w:t>
      </w:r>
      <w:r w:rsidR="00D9486F" w:rsidRPr="00F70320">
        <w:rPr>
          <w:i/>
          <w:iCs/>
        </w:rPr>
        <w:t xml:space="preserve"> Fourth violation for false arrest and </w:t>
      </w:r>
      <w:r w:rsidR="00F70320" w:rsidRPr="00F70320">
        <w:rPr>
          <w:i/>
          <w:iCs/>
        </w:rPr>
        <w:t xml:space="preserve">Fourteenth Amendment </w:t>
      </w:r>
      <w:r w:rsidRPr="00F70320">
        <w:rPr>
          <w:i/>
          <w:iCs/>
        </w:rPr>
        <w:t xml:space="preserve">Brady </w:t>
      </w:r>
      <w:r w:rsidR="00F70320">
        <w:rPr>
          <w:i/>
          <w:iCs/>
        </w:rPr>
        <w:t xml:space="preserve">discovery </w:t>
      </w:r>
      <w:r w:rsidRPr="00F70320">
        <w:rPr>
          <w:i/>
          <w:iCs/>
        </w:rPr>
        <w:t>violation</w:t>
      </w:r>
      <w:r w:rsidR="00F70320" w:rsidRPr="00F70320">
        <w:rPr>
          <w:i/>
          <w:iCs/>
        </w:rPr>
        <w:t>.</w:t>
      </w:r>
    </w:p>
    <w:p w14:paraId="19096ADD" w14:textId="77777777" w:rsidR="00362AAB" w:rsidRDefault="00362AAB" w:rsidP="00362AAB"/>
    <w:p w14:paraId="19555FAE" w14:textId="77777777" w:rsidR="00362AAB" w:rsidRDefault="00362AAB" w:rsidP="00362AAB">
      <w:r>
        <w:t>In February 2020, Nicolas Robertson was shot and killed in Jackson, Mississippi. Two months later, Samuel Jennings, who was arrested for burglary and grand larceny, provided a statement to Detective Jacquelyn Thomas implicating Desmond Green in the murder. Green was subsequently indicted by a grand jury and detained for nearly two years. In March 2022, Jennings recanted his statement, admitting he was under the influence of drugs when he implicated Green and had no actual knowledge of the murder. Green was released from jail after the charges were dismissed.</w:t>
      </w:r>
    </w:p>
    <w:p w14:paraId="7B444B50" w14:textId="77777777" w:rsidR="00362AAB" w:rsidRDefault="00362AAB" w:rsidP="00362AAB"/>
    <w:p w14:paraId="060A3BCD" w14:textId="77777777" w:rsidR="00362AAB" w:rsidRDefault="00362AAB" w:rsidP="00362AAB">
      <w:r>
        <w:lastRenderedPageBreak/>
        <w:t>Green sued Detective Thomas under 42 U.S.C. § 1983, alleging violations of his Fourth and Fourteenth Amendment rights, including malicious prosecution and false arrest without probable cause. The United States District Court for the Southern District of Mississippi denied Detective Thomas qualified immunity at the motion-to-dismiss stage, allowing Green's claims to proceed.</w:t>
      </w:r>
    </w:p>
    <w:p w14:paraId="51A4D734" w14:textId="77777777" w:rsidR="00362AAB" w:rsidRDefault="00362AAB" w:rsidP="00362AAB"/>
    <w:p w14:paraId="53035042" w14:textId="2E877E35" w:rsidR="00362AAB" w:rsidRDefault="00362AAB" w:rsidP="00362AAB">
      <w:r>
        <w:t>The United States Court of Appeals for the Fifth Circuit held that Green sufficiently alleged violations of his clearly established Fourth Amendment right against false arrest and his Fourteenth Amendment due process rights. The court found that Detective Thomas allegedly manipulated a photo lineup and withheld exculpatory evidence from the grand jury, which could have influenced the grand jury's decision to indict Green. However, the court granted Detective Thomas qualified immunity on Green's malicious prosecution claim, as the constitutional tort of malicious prosecution was not clearly established in the Fifth Circuit at the time of Green's arrest.</w:t>
      </w:r>
      <w:r w:rsidR="00F70320">
        <w:t xml:space="preserve"> Accordingly, t</w:t>
      </w:r>
      <w:r>
        <w:t>he Fifth Circuit affirmed the district court's denial of qualified immunity for Green's false arrest and due process claims but reversed the denial of qualified immunity for the malicious prosecution claim.</w:t>
      </w:r>
    </w:p>
    <w:p w14:paraId="61C78839" w14:textId="77777777" w:rsidR="00362AAB" w:rsidRDefault="00362AAB" w:rsidP="00362AAB"/>
    <w:p w14:paraId="2D85D4E0" w14:textId="49DCDE7F" w:rsidR="00362AAB" w:rsidRDefault="00D9486F" w:rsidP="00362AAB">
      <w:hyperlink r:id="rId5" w:history="1">
        <w:r w:rsidRPr="002A72BE">
          <w:rPr>
            <w:rStyle w:val="Hyperlink"/>
          </w:rPr>
          <w:t>https://cases.justia.com/federal/appellate-courts/ca5/24-60314/24-60314-2025-03-03.pdf</w:t>
        </w:r>
      </w:hyperlink>
    </w:p>
    <w:p w14:paraId="23574EE4" w14:textId="77777777" w:rsidR="00362AAB" w:rsidRDefault="00362AAB" w:rsidP="00AA5096"/>
    <w:p w14:paraId="686AC742" w14:textId="77777777" w:rsidR="00C86B83" w:rsidRPr="00C86B83" w:rsidRDefault="00C86B83" w:rsidP="00C86B83">
      <w:pPr>
        <w:rPr>
          <w:b/>
          <w:bCs/>
        </w:rPr>
      </w:pPr>
      <w:r w:rsidRPr="00C86B83">
        <w:rPr>
          <w:b/>
          <w:bCs/>
        </w:rPr>
        <w:t>United States v. Norman</w:t>
      </w:r>
    </w:p>
    <w:p w14:paraId="1CEA83D7" w14:textId="79D66041" w:rsidR="00C86B83" w:rsidRDefault="00C86B83" w:rsidP="00C86B83">
      <w:r>
        <w:t>U.S. Court of Appeals for the Fifth Circuit</w:t>
      </w:r>
    </w:p>
    <w:p w14:paraId="6BD09769" w14:textId="09FD2FE6" w:rsidR="00C86B83" w:rsidRDefault="00C86B83" w:rsidP="00C86B83">
      <w:r w:rsidRPr="00C86B83">
        <w:t>March 3, 2025</w:t>
      </w:r>
    </w:p>
    <w:p w14:paraId="3C4D7BD9" w14:textId="77777777" w:rsidR="00C86B83" w:rsidRDefault="00C86B83" w:rsidP="00C86B83">
      <w:r>
        <w:t>Docket: 24-30294</w:t>
      </w:r>
    </w:p>
    <w:p w14:paraId="03951278" w14:textId="77777777" w:rsidR="00C86B83" w:rsidRDefault="00C86B83" w:rsidP="00C86B83"/>
    <w:p w14:paraId="34DCA741" w14:textId="56903A63" w:rsidR="00C86B83" w:rsidRPr="00F70320" w:rsidRDefault="00C86B83" w:rsidP="00C86B83">
      <w:pPr>
        <w:rPr>
          <w:i/>
          <w:iCs/>
        </w:rPr>
      </w:pPr>
      <w:r w:rsidRPr="00F70320">
        <w:rPr>
          <w:i/>
          <w:iCs/>
        </w:rPr>
        <w:t>LEO LAW Topic</w:t>
      </w:r>
      <w:r w:rsidR="00F70320" w:rsidRPr="00F70320">
        <w:rPr>
          <w:i/>
          <w:iCs/>
        </w:rPr>
        <w:t>s 1-15, 4-2</w:t>
      </w:r>
      <w:r w:rsidRPr="00F70320">
        <w:rPr>
          <w:i/>
          <w:iCs/>
        </w:rPr>
        <w:t xml:space="preserve">: </w:t>
      </w:r>
      <w:r w:rsidR="00F70320" w:rsidRPr="00F70320">
        <w:rPr>
          <w:i/>
          <w:iCs/>
        </w:rPr>
        <w:t xml:space="preserve">The </w:t>
      </w:r>
      <w:r w:rsidRPr="00F70320">
        <w:rPr>
          <w:i/>
          <w:iCs/>
        </w:rPr>
        <w:t xml:space="preserve">Good Faith Exception to </w:t>
      </w:r>
      <w:r w:rsidR="00F70320" w:rsidRPr="00F70320">
        <w:rPr>
          <w:i/>
          <w:iCs/>
        </w:rPr>
        <w:t xml:space="preserve">the </w:t>
      </w:r>
      <w:r w:rsidRPr="00F70320">
        <w:rPr>
          <w:i/>
          <w:iCs/>
        </w:rPr>
        <w:t xml:space="preserve">exclusionary rule </w:t>
      </w:r>
      <w:r w:rsidR="00F70320" w:rsidRPr="00F70320">
        <w:rPr>
          <w:i/>
          <w:iCs/>
        </w:rPr>
        <w:t>applied in the search</w:t>
      </w:r>
      <w:r w:rsidRPr="00F70320">
        <w:rPr>
          <w:i/>
          <w:iCs/>
        </w:rPr>
        <w:t xml:space="preserve"> warrant application</w:t>
      </w:r>
      <w:r w:rsidR="00F70320" w:rsidRPr="00F70320">
        <w:rPr>
          <w:i/>
          <w:iCs/>
        </w:rPr>
        <w:t>.</w:t>
      </w:r>
    </w:p>
    <w:p w14:paraId="10093EEF" w14:textId="77777777" w:rsidR="00C86B83" w:rsidRDefault="00C86B83" w:rsidP="00C86B83"/>
    <w:p w14:paraId="4DC013E4" w14:textId="77777777" w:rsidR="00C86B83" w:rsidRDefault="00C86B83" w:rsidP="00C86B83">
      <w:r>
        <w:t xml:space="preserve">Detective Jeff Scroggins of the Livingston Parish Sheriff’s Office suspected </w:t>
      </w:r>
      <w:proofErr w:type="spellStart"/>
      <w:r>
        <w:t>Quwinton</w:t>
      </w:r>
      <w:proofErr w:type="spellEnd"/>
      <w:r>
        <w:t xml:space="preserve"> Norman of supplying methamphetamine to Fleet Wallace, a narcotics distributor. Scroggins applied for search warrants for Norman’s apartment and a nearby house where Norman stayed after a drug transaction. The affidavit supporting the warrants included summaries of text messages between Norman and Wallace and observations of Norman’s activities. A Louisiana state court judge issued the warrants, and officers found drugs, cash, and other incriminating items in the house and Norman’s vehicle. Norman was indicted on federal charges of possession with intent to distribute methamphetamine and cocaine.</w:t>
      </w:r>
    </w:p>
    <w:p w14:paraId="5CC7ED17" w14:textId="77777777" w:rsidR="00C86B83" w:rsidRDefault="00C86B83" w:rsidP="00C86B83"/>
    <w:p w14:paraId="7CDF6E55" w14:textId="77777777" w:rsidR="00C86B83" w:rsidRDefault="00C86B83" w:rsidP="00C86B83">
      <w:r>
        <w:t>Norman moved to suppress the evidence, arguing that the affidavit did not establish probable cause and was bare bones. The United States District Court for the Middle District of Louisiana held a hearing and granted the motion to suppress. The government appealed the decision.</w:t>
      </w:r>
    </w:p>
    <w:p w14:paraId="2298B10F" w14:textId="77777777" w:rsidR="00C86B83" w:rsidRDefault="00C86B83" w:rsidP="00C86B83"/>
    <w:p w14:paraId="489FDFB8" w14:textId="56CD61CB" w:rsidR="00C86B83" w:rsidRDefault="00C86B83" w:rsidP="00C86B83">
      <w:r>
        <w:t>The United States Court of Appeals for the Fifth Circuit reviewed the district court’s ruling, examining the good-faith exception to the exclusionary rule. The court determined that the good-faith exception applied because the affidavit was not bare bones. It contained specific facts and circumstances, such as text messages indicating drug transactions and observations of Norman’s movements, which allowed officers to reasonably believe there was a nexus between the house and evidence of drug trafficking. The court concluded that the state judge could draw reasonable inferences from the affidavit to determine probable cause. Therefore, the good-faith exception applied, and the court reversed the district court’s order excluding the evidence and remanded the case for further proceedings.</w:t>
      </w:r>
    </w:p>
    <w:p w14:paraId="660A69A0" w14:textId="77777777" w:rsidR="00C86B83" w:rsidRDefault="00C86B83" w:rsidP="00AA5096"/>
    <w:p w14:paraId="124D510B" w14:textId="287A65DF" w:rsidR="00D9486F" w:rsidRDefault="00D9486F" w:rsidP="00AA5096">
      <w:hyperlink r:id="rId6" w:history="1">
        <w:r w:rsidRPr="002A72BE">
          <w:rPr>
            <w:rStyle w:val="Hyperlink"/>
          </w:rPr>
          <w:t>https://cases.justia.com/federal/appellate-courts/ca5/24-30294/24-30294-2025-03-03.pdf</w:t>
        </w:r>
      </w:hyperlink>
    </w:p>
    <w:p w14:paraId="54BC4C09" w14:textId="77777777" w:rsidR="00D9486F" w:rsidRDefault="00D9486F" w:rsidP="00AA5096"/>
    <w:p w14:paraId="3C325B39" w14:textId="62710AC3" w:rsidR="00C86B83" w:rsidRDefault="00D9486F" w:rsidP="00AA5096">
      <w:r>
        <w:lastRenderedPageBreak/>
        <w:t>EIGHT</w:t>
      </w:r>
      <w:r w:rsidR="00C86B83">
        <w:t>H CIRCUIT</w:t>
      </w:r>
    </w:p>
    <w:p w14:paraId="73ED99BC" w14:textId="77777777" w:rsidR="00C86B83" w:rsidRDefault="00C86B83" w:rsidP="00AA5096"/>
    <w:p w14:paraId="5B55FE33" w14:textId="77777777" w:rsidR="00C86B83" w:rsidRPr="00C86B83" w:rsidRDefault="00C86B83" w:rsidP="00C86B83">
      <w:pPr>
        <w:rPr>
          <w:b/>
          <w:bCs/>
        </w:rPr>
      </w:pPr>
      <w:r w:rsidRPr="00C86B83">
        <w:rPr>
          <w:b/>
          <w:bCs/>
        </w:rPr>
        <w:t>United States v. McGhee</w:t>
      </w:r>
    </w:p>
    <w:p w14:paraId="30932419" w14:textId="1EFD9F83" w:rsidR="00C86B83" w:rsidRDefault="00C86B83" w:rsidP="00C86B83">
      <w:r>
        <w:t>U.S. Court of Appeals for the Eighth Circuit</w:t>
      </w:r>
    </w:p>
    <w:p w14:paraId="17DCA7AE" w14:textId="2185838F" w:rsidR="00C86B83" w:rsidRDefault="00C86B83" w:rsidP="00C86B83">
      <w:r w:rsidRPr="00C86B83">
        <w:t>February 28, 2025</w:t>
      </w:r>
    </w:p>
    <w:p w14:paraId="07197476" w14:textId="77777777" w:rsidR="00C86B83" w:rsidRDefault="00C86B83" w:rsidP="00C86B83">
      <w:r>
        <w:t>Docket: 23-3674</w:t>
      </w:r>
    </w:p>
    <w:p w14:paraId="769599D2" w14:textId="77777777" w:rsidR="00C86B83" w:rsidRDefault="00C86B83" w:rsidP="00C86B83"/>
    <w:p w14:paraId="2AB6888E" w14:textId="307E03AB" w:rsidR="00C86B83" w:rsidRPr="00F14698" w:rsidRDefault="00C86B83" w:rsidP="00C86B83">
      <w:pPr>
        <w:rPr>
          <w:i/>
          <w:iCs/>
        </w:rPr>
      </w:pPr>
      <w:r w:rsidRPr="00F14698">
        <w:rPr>
          <w:i/>
          <w:iCs/>
        </w:rPr>
        <w:t>LEO LAW Topics</w:t>
      </w:r>
      <w:r w:rsidR="00F14698" w:rsidRPr="00F14698">
        <w:rPr>
          <w:i/>
          <w:iCs/>
        </w:rPr>
        <w:t xml:space="preserve"> 2-12, 5-10</w:t>
      </w:r>
      <w:r w:rsidRPr="00F14698">
        <w:rPr>
          <w:i/>
          <w:iCs/>
        </w:rPr>
        <w:t>:</w:t>
      </w:r>
      <w:r w:rsidR="00F14698" w:rsidRPr="00F14698">
        <w:rPr>
          <w:i/>
          <w:iCs/>
        </w:rPr>
        <w:t xml:space="preserve"> L</w:t>
      </w:r>
      <w:r w:rsidR="00D9486F" w:rsidRPr="00F14698">
        <w:rPr>
          <w:i/>
          <w:iCs/>
        </w:rPr>
        <w:t xml:space="preserve">awful observations of </w:t>
      </w:r>
      <w:r w:rsidR="00F14698" w:rsidRPr="00F14698">
        <w:rPr>
          <w:i/>
          <w:iCs/>
        </w:rPr>
        <w:t xml:space="preserve">the </w:t>
      </w:r>
      <w:r w:rsidR="00D9486F" w:rsidRPr="00F14698">
        <w:rPr>
          <w:i/>
          <w:iCs/>
        </w:rPr>
        <w:t>home led to</w:t>
      </w:r>
      <w:r w:rsidR="00F14698">
        <w:rPr>
          <w:i/>
          <w:iCs/>
        </w:rPr>
        <w:t xml:space="preserve"> the</w:t>
      </w:r>
      <w:r w:rsidR="00D9486F" w:rsidRPr="00F14698">
        <w:rPr>
          <w:i/>
          <w:iCs/>
        </w:rPr>
        <w:t xml:space="preserve"> </w:t>
      </w:r>
      <w:r w:rsidR="00F14698" w:rsidRPr="00F14698">
        <w:rPr>
          <w:i/>
          <w:iCs/>
        </w:rPr>
        <w:t xml:space="preserve">entry of the curtilage under the </w:t>
      </w:r>
      <w:r w:rsidR="00D9486F" w:rsidRPr="00F14698">
        <w:rPr>
          <w:i/>
          <w:iCs/>
        </w:rPr>
        <w:t xml:space="preserve">emergency </w:t>
      </w:r>
      <w:r w:rsidR="00F14698" w:rsidRPr="00F14698">
        <w:rPr>
          <w:i/>
          <w:iCs/>
        </w:rPr>
        <w:t xml:space="preserve">aid </w:t>
      </w:r>
      <w:r w:rsidR="00D9486F" w:rsidRPr="00F14698">
        <w:rPr>
          <w:i/>
          <w:iCs/>
        </w:rPr>
        <w:t>exigency</w:t>
      </w:r>
      <w:r w:rsidR="00F14698" w:rsidRPr="00F14698">
        <w:rPr>
          <w:i/>
          <w:iCs/>
        </w:rPr>
        <w:t xml:space="preserve">, </w:t>
      </w:r>
      <w:r w:rsidR="00D9486F" w:rsidRPr="00F14698">
        <w:rPr>
          <w:i/>
          <w:iCs/>
        </w:rPr>
        <w:t xml:space="preserve">which led to </w:t>
      </w:r>
      <w:r w:rsidR="00F14698" w:rsidRPr="00F14698">
        <w:rPr>
          <w:i/>
          <w:iCs/>
        </w:rPr>
        <w:t>a lawful search warrant.</w:t>
      </w:r>
    </w:p>
    <w:p w14:paraId="37A17DBD" w14:textId="77777777" w:rsidR="00C86B83" w:rsidRDefault="00C86B83" w:rsidP="00C86B83"/>
    <w:p w14:paraId="49618072" w14:textId="77777777" w:rsidR="00C86B83" w:rsidRDefault="00C86B83" w:rsidP="00C86B83">
      <w:r>
        <w:t>Jaylyn McGhee was involved in a shooting outside his home in Davenport, Iowa, where his six-year-old son was injured. Law enforcement responded to the scene and found shell casings, suspected narcotics, and money outside McGhee's house. Officers observed blood spatter and a powdery substance on the deck and stairs leading to a side door of the house. Based on these observations, they obtained a search warrant and found drugs and firearms inside McGhee's home. McGhee was charged with drug and firearm offenses, pled guilty, and was sentenced to 60 months in prison and 3 years of supervised release.</w:t>
      </w:r>
    </w:p>
    <w:p w14:paraId="3C896583" w14:textId="77777777" w:rsidR="00C86B83" w:rsidRDefault="00C86B83" w:rsidP="00C86B83"/>
    <w:p w14:paraId="7E083318" w14:textId="6E19B203" w:rsidR="00C86B83" w:rsidRDefault="00C86B83" w:rsidP="00C86B83">
      <w:r>
        <w:t xml:space="preserve">The United States District Court for the Southern District of Iowa denied McGhee's motion to suppress the evidence found in his home, ruling that the officers' observations from the front yard were lawful and that exigent circumstances justified their entry into the side yard. </w:t>
      </w:r>
    </w:p>
    <w:p w14:paraId="1B9D1E20" w14:textId="77777777" w:rsidR="00C86B83" w:rsidRDefault="00C86B83" w:rsidP="00C86B83"/>
    <w:p w14:paraId="2CF9936B" w14:textId="776162D6" w:rsidR="00C86B83" w:rsidRDefault="00C86B83" w:rsidP="00C86B83">
      <w:r>
        <w:t xml:space="preserve">The United States Court of Appeals for the Eighth Circuit affirmed the district court's denial of the motion to suppress, agreeing that the officers' initial observations were lawful and that </w:t>
      </w:r>
      <w:r w:rsidR="00F14698">
        <w:t>the emergency aid exception</w:t>
      </w:r>
      <w:r>
        <w:t xml:space="preserve"> circumstances justified their further actions. </w:t>
      </w:r>
    </w:p>
    <w:p w14:paraId="7CB91C45" w14:textId="77777777" w:rsidR="00C86B83" w:rsidRDefault="00C86B83" w:rsidP="00AA5096"/>
    <w:p w14:paraId="61FADCC8" w14:textId="0C61724A" w:rsidR="00C86B83" w:rsidRDefault="00C86B83" w:rsidP="00AA5096">
      <w:hyperlink r:id="rId7" w:history="1">
        <w:r w:rsidRPr="0026472D">
          <w:rPr>
            <w:rStyle w:val="Hyperlink"/>
          </w:rPr>
          <w:t>https://cases.justia.com/federal/appellate-courts/ca8/23-3674/23-3674-2025-02-28.pdf?ts=1740760220</w:t>
        </w:r>
      </w:hyperlink>
    </w:p>
    <w:p w14:paraId="64279D16" w14:textId="77777777" w:rsidR="00C86B83" w:rsidRDefault="00C86B83" w:rsidP="00AA5096"/>
    <w:p w14:paraId="1C92F06C" w14:textId="77777777" w:rsidR="00C86B83" w:rsidRDefault="00C86B83" w:rsidP="00AA5096"/>
    <w:p w14:paraId="7CB84A9C" w14:textId="6FF4C769" w:rsidR="00362AAB" w:rsidRDefault="00362AAB" w:rsidP="00AA5096">
      <w:r>
        <w:t>NINTH CIRCUIT</w:t>
      </w:r>
    </w:p>
    <w:p w14:paraId="3F179F7D" w14:textId="77777777" w:rsidR="00362AAB" w:rsidRDefault="00362AAB" w:rsidP="00AA5096"/>
    <w:p w14:paraId="0EF59E29" w14:textId="478D397F" w:rsidR="00362AAB" w:rsidRPr="00362AAB" w:rsidRDefault="00362AAB" w:rsidP="00362AAB">
      <w:pPr>
        <w:rPr>
          <w:b/>
          <w:bCs/>
        </w:rPr>
      </w:pPr>
      <w:r w:rsidRPr="00362AAB">
        <w:rPr>
          <w:b/>
          <w:bCs/>
        </w:rPr>
        <w:t>United States v. Steinman</w:t>
      </w:r>
    </w:p>
    <w:p w14:paraId="36627314" w14:textId="1DE22AB0" w:rsidR="00362AAB" w:rsidRDefault="00362AAB" w:rsidP="00362AAB">
      <w:r>
        <w:t>U.S. Court of Appeals for the Ninth Circuit</w:t>
      </w:r>
    </w:p>
    <w:p w14:paraId="79E58C9F" w14:textId="3E91544C" w:rsidR="00362AAB" w:rsidRDefault="00362AAB" w:rsidP="00362AAB">
      <w:r w:rsidRPr="00362AAB">
        <w:t>March 5, 2025</w:t>
      </w:r>
    </w:p>
    <w:p w14:paraId="76509F1A" w14:textId="77777777" w:rsidR="00362AAB" w:rsidRDefault="00362AAB" w:rsidP="00362AAB">
      <w:r>
        <w:t>Docket: 23-1703</w:t>
      </w:r>
    </w:p>
    <w:p w14:paraId="0DF4A5A7" w14:textId="77777777" w:rsidR="00362AAB" w:rsidRDefault="00362AAB" w:rsidP="00362AAB"/>
    <w:p w14:paraId="4EBD35BA" w14:textId="2A7DE8BA" w:rsidR="00362AAB" w:rsidRPr="00E87968" w:rsidRDefault="00362AAB" w:rsidP="00362AAB">
      <w:pPr>
        <w:rPr>
          <w:i/>
          <w:iCs/>
        </w:rPr>
      </w:pPr>
      <w:r w:rsidRPr="00E87968">
        <w:rPr>
          <w:i/>
          <w:iCs/>
        </w:rPr>
        <w:t>LEO LAW Topics</w:t>
      </w:r>
      <w:r w:rsidR="00E87968" w:rsidRPr="00E87968">
        <w:rPr>
          <w:i/>
          <w:iCs/>
        </w:rPr>
        <w:t xml:space="preserve"> 10-1, 1-7, 5-13</w:t>
      </w:r>
      <w:r w:rsidRPr="00E87968">
        <w:rPr>
          <w:i/>
          <w:iCs/>
        </w:rPr>
        <w:t xml:space="preserve">: </w:t>
      </w:r>
      <w:r w:rsidR="00E87968" w:rsidRPr="00E87968">
        <w:rPr>
          <w:i/>
          <w:iCs/>
        </w:rPr>
        <w:t xml:space="preserve">A valid </w:t>
      </w:r>
      <w:r w:rsidR="00D9486F" w:rsidRPr="00E87968">
        <w:rPr>
          <w:i/>
          <w:iCs/>
        </w:rPr>
        <w:t>traffic stop led to RS of another offense</w:t>
      </w:r>
      <w:r w:rsidR="00E87968" w:rsidRPr="00E87968">
        <w:rPr>
          <w:i/>
          <w:iCs/>
        </w:rPr>
        <w:t>, which</w:t>
      </w:r>
      <w:r w:rsidR="00D9486F" w:rsidRPr="00E87968">
        <w:rPr>
          <w:i/>
          <w:iCs/>
        </w:rPr>
        <w:t xml:space="preserve"> led to </w:t>
      </w:r>
      <w:r w:rsidR="00E87968" w:rsidRPr="00E87968">
        <w:rPr>
          <w:i/>
          <w:iCs/>
        </w:rPr>
        <w:t>PC</w:t>
      </w:r>
      <w:r w:rsidR="00D9486F" w:rsidRPr="00E87968">
        <w:rPr>
          <w:i/>
          <w:iCs/>
        </w:rPr>
        <w:t xml:space="preserve"> to search </w:t>
      </w:r>
      <w:r w:rsidR="00E87968" w:rsidRPr="00E87968">
        <w:rPr>
          <w:i/>
          <w:iCs/>
        </w:rPr>
        <w:t xml:space="preserve">the </w:t>
      </w:r>
      <w:r w:rsidR="00D9486F" w:rsidRPr="00E87968">
        <w:rPr>
          <w:i/>
          <w:iCs/>
        </w:rPr>
        <w:t xml:space="preserve">vehicle under </w:t>
      </w:r>
      <w:r w:rsidR="00E87968" w:rsidRPr="00E87968">
        <w:rPr>
          <w:i/>
          <w:iCs/>
        </w:rPr>
        <w:t xml:space="preserve">the </w:t>
      </w:r>
      <w:r w:rsidR="00D9486F" w:rsidRPr="00E87968">
        <w:rPr>
          <w:i/>
          <w:iCs/>
        </w:rPr>
        <w:t>automobile exception</w:t>
      </w:r>
      <w:r w:rsidR="00E87968" w:rsidRPr="00E87968">
        <w:rPr>
          <w:i/>
          <w:iCs/>
        </w:rPr>
        <w:t>.</w:t>
      </w:r>
    </w:p>
    <w:p w14:paraId="4BC2FD55" w14:textId="77777777" w:rsidR="00362AAB" w:rsidRPr="00E87968" w:rsidRDefault="00362AAB" w:rsidP="00362AAB">
      <w:pPr>
        <w:rPr>
          <w:i/>
          <w:iCs/>
        </w:rPr>
      </w:pPr>
    </w:p>
    <w:p w14:paraId="127D7AC7" w14:textId="77777777" w:rsidR="00362AAB" w:rsidRDefault="00362AAB" w:rsidP="00362AAB">
      <w:r>
        <w:t>Triston Harris Steinman was stopped by Nevada State Trooper William Boyer for speeding. During the stop, Boyer observed an ammunition box in Steinman's car and learned that Steinman had a felony conviction. Boyer asked Steinman to exit the vehicle and sit in the patrol car while he ran a criminal history check. Steinman admitted to having ammunition but denied having firearms. Boyer eventually seized the car and obtained a search warrant, leading to the discovery of firearms, ammunition, and other contraband.</w:t>
      </w:r>
    </w:p>
    <w:p w14:paraId="72DBD00C" w14:textId="77777777" w:rsidR="00362AAB" w:rsidRDefault="00362AAB" w:rsidP="00362AAB"/>
    <w:p w14:paraId="75C95F8E" w14:textId="77777777" w:rsidR="00362AAB" w:rsidRDefault="00362AAB" w:rsidP="00362AAB">
      <w:r>
        <w:lastRenderedPageBreak/>
        <w:t>The District Court for the District of Nevada suppressed the evidence, ruling that Boyer unlawfully prolonged the traffic stop without reasonable suspicion and lacked probable cause to seize the vehicle. The court also found the search warrant overbroad and invalid.</w:t>
      </w:r>
    </w:p>
    <w:p w14:paraId="4963CCE3" w14:textId="77777777" w:rsidR="00362AAB" w:rsidRDefault="00362AAB" w:rsidP="00362AAB"/>
    <w:p w14:paraId="2B53A2CF" w14:textId="14B7F583" w:rsidR="00362AAB" w:rsidRDefault="00362AAB" w:rsidP="00362AAB">
      <w:r>
        <w:t>The United States Court of Appeals for the Ninth Circuit reversed the district court's decision. The appellate court held that Boyer did not unlawfully prolong the stop, as his actions were within the scope of the traffic stop's mission and did not measurably extend its duration. The court also found that Boyer had reasonable suspicion of an independent offense after learning of Steinman's felony conviction. Additionally, the court ruled that Boyer had probable cause to seize the vehicle based on evidence of federal and state law violations. The court concluded that the search of the vehicle was permissible under the automobile exception to the Fourth Amendment's warrant requirement, despite the overbroad warrant. Thus, the suppression of the evidence was reversed.</w:t>
      </w:r>
    </w:p>
    <w:p w14:paraId="1A743350" w14:textId="77777777" w:rsidR="00362AAB" w:rsidRDefault="00362AAB" w:rsidP="00AA5096"/>
    <w:p w14:paraId="0E164744" w14:textId="00D9F66C" w:rsidR="00362AAB" w:rsidRDefault="00C86B83" w:rsidP="00AA5096">
      <w:hyperlink r:id="rId8" w:history="1">
        <w:r w:rsidRPr="0026472D">
          <w:rPr>
            <w:rStyle w:val="Hyperlink"/>
          </w:rPr>
          <w:t>https://cases.justia.com/federal/appellate-courts/ca9/23-1703/23-1703-2025-03-05.pdf?ts=1741194215</w:t>
        </w:r>
      </w:hyperlink>
    </w:p>
    <w:p w14:paraId="0B829AB9" w14:textId="77777777" w:rsidR="00C86B83" w:rsidRDefault="00C86B83" w:rsidP="00AA5096"/>
    <w:p w14:paraId="5E7691D7" w14:textId="18FF6139" w:rsidR="00C86B83" w:rsidRDefault="00C86B83" w:rsidP="00AA5096">
      <w:r>
        <w:t>TENTH CIRCUIT</w:t>
      </w:r>
    </w:p>
    <w:p w14:paraId="2558C925" w14:textId="77777777" w:rsidR="00C86B83" w:rsidRDefault="00C86B83" w:rsidP="00AA5096"/>
    <w:p w14:paraId="11FAF930" w14:textId="77777777" w:rsidR="00C86B83" w:rsidRPr="009B5FD3" w:rsidRDefault="00C86B83" w:rsidP="00C86B83">
      <w:pPr>
        <w:rPr>
          <w:b/>
          <w:bCs/>
        </w:rPr>
      </w:pPr>
      <w:r w:rsidRPr="009B5FD3">
        <w:rPr>
          <w:b/>
          <w:bCs/>
        </w:rPr>
        <w:t>United States v. Norton</w:t>
      </w:r>
    </w:p>
    <w:p w14:paraId="140778FA" w14:textId="266F86D2" w:rsidR="00C86B83" w:rsidRDefault="00C86B83" w:rsidP="00C86B83">
      <w:r>
        <w:t>U.S. Court of Appeals for the Tenth Circuit</w:t>
      </w:r>
    </w:p>
    <w:p w14:paraId="7DB8C4B1" w14:textId="2D594E38" w:rsidR="00C86B83" w:rsidRDefault="00C86B83" w:rsidP="00C86B83">
      <w:r w:rsidRPr="00C86B83">
        <w:t>March 5, 2025</w:t>
      </w:r>
    </w:p>
    <w:p w14:paraId="345EAB25" w14:textId="77777777" w:rsidR="00C86B83" w:rsidRDefault="00C86B83" w:rsidP="00C86B83">
      <w:r>
        <w:t>Docket: 24-2059</w:t>
      </w:r>
    </w:p>
    <w:p w14:paraId="2ED87333" w14:textId="77777777" w:rsidR="00C86B83" w:rsidRDefault="00C86B83" w:rsidP="00C86B83"/>
    <w:p w14:paraId="72CFB4FD" w14:textId="1F267940" w:rsidR="00C86B83" w:rsidRDefault="00C86B83" w:rsidP="00C86B83">
      <w:r>
        <w:t xml:space="preserve">LEO LAW Topics: </w:t>
      </w:r>
      <w:r w:rsidR="008608B8">
        <w:t>[chief’s off-duty false material statement led to suppression at Franks hearing]</w:t>
      </w:r>
    </w:p>
    <w:p w14:paraId="255F5011" w14:textId="77777777" w:rsidR="00C86B83" w:rsidRDefault="00C86B83" w:rsidP="00C86B83"/>
    <w:p w14:paraId="548F53D9" w14:textId="77777777" w:rsidR="00C86B83" w:rsidRDefault="00C86B83" w:rsidP="00C86B83">
      <w:r>
        <w:t>The case involves the suppression of DNA evidence obtained through a search warrant. The warrant affidavit included a false statement made by New Mexico Highlands University Police Chief Clarence Romero to FBI Agent Bryan Acee, who then included it in the affidavit. The district court suppressed the evidence, ruling that the inclusion of the false statement violated Franks v. Delaware, which prohibits recklessly or intentionally including a material, false statement in a search-warrant affidavit.</w:t>
      </w:r>
    </w:p>
    <w:p w14:paraId="1990841A" w14:textId="77777777" w:rsidR="00C86B83" w:rsidRDefault="00C86B83" w:rsidP="00C86B83"/>
    <w:p w14:paraId="58288BDF" w14:textId="77777777" w:rsidR="00C86B83" w:rsidRDefault="00C86B83" w:rsidP="00C86B83">
      <w:r>
        <w:t xml:space="preserve">The United States District Court for the District of New Mexico found that Chief Romero's false statement was material to the finding of probable cause and that it was made with reckless disregard for the truth. The court also rejected the Government's argument that Franks did not apply to Chief Romero because he was off duty and lacked an official investigatory role. The court held that Franks extends to off-duty officers who are </w:t>
      </w:r>
      <w:proofErr w:type="gramStart"/>
      <w:r>
        <w:t>actually involved</w:t>
      </w:r>
      <w:proofErr w:type="gramEnd"/>
      <w:r>
        <w:t xml:space="preserve"> in an investigation.</w:t>
      </w:r>
    </w:p>
    <w:p w14:paraId="268ACD38" w14:textId="77777777" w:rsidR="00C86B83" w:rsidRDefault="00C86B83" w:rsidP="00C86B83"/>
    <w:p w14:paraId="7EE56019" w14:textId="35EFA3B4" w:rsidR="00C86B83" w:rsidRDefault="00C86B83" w:rsidP="00C86B83">
      <w:r>
        <w:t xml:space="preserve">The United States Court of Appeals for the Tenth Circuit reviewed the district court's decision. The Tenth Circuit held that Franks applies to off-duty officers who are </w:t>
      </w:r>
      <w:proofErr w:type="gramStart"/>
      <w:r>
        <w:t>actually involved</w:t>
      </w:r>
      <w:proofErr w:type="gramEnd"/>
      <w:r>
        <w:t xml:space="preserve"> in an investigation with the knowledge and acquiescence of on-duty officers. The court reviewed the district court's finding for clear error and affirmed the decision, noting that Chief Romero's actions and the reliance of other officers on his information demonstrated his involvement in the investigation. Consequently, the Tenth Circuit affirmed the district court's order suppressing the DNA evidence.</w:t>
      </w:r>
    </w:p>
    <w:p w14:paraId="035D8947" w14:textId="77777777" w:rsidR="00C86B83" w:rsidRDefault="00C86B83" w:rsidP="00AA5096"/>
    <w:p w14:paraId="5FBBF457" w14:textId="7471BE90" w:rsidR="00D9486F" w:rsidRDefault="00D9486F" w:rsidP="00AA5096">
      <w:hyperlink r:id="rId9" w:history="1">
        <w:r w:rsidRPr="002A72BE">
          <w:rPr>
            <w:rStyle w:val="Hyperlink"/>
          </w:rPr>
          <w:t>https://cases.justia.com/federal/appellate-courts/ca10/24-2059/24-2059-2025-03-05.pdf</w:t>
        </w:r>
      </w:hyperlink>
    </w:p>
    <w:p w14:paraId="52D4F774" w14:textId="1D83AE21" w:rsidR="00C86B83" w:rsidRDefault="009B5FD3" w:rsidP="00AA5096">
      <w:r>
        <w:t xml:space="preserve"> </w:t>
      </w:r>
    </w:p>
    <w:p w14:paraId="7FE81CB0" w14:textId="77777777" w:rsidR="00C86B83" w:rsidRDefault="00C86B83" w:rsidP="00AA5096"/>
    <w:p w14:paraId="7C034FFF" w14:textId="77777777" w:rsidR="00C86B83" w:rsidRDefault="00C86B83" w:rsidP="00AA5096"/>
    <w:p w14:paraId="59AABE2D" w14:textId="424EE96F" w:rsidR="00362AAB" w:rsidRPr="00362AAB" w:rsidRDefault="00362AAB" w:rsidP="00AA5096">
      <w:pPr>
        <w:rPr>
          <w:b/>
          <w:bCs/>
          <w:sz w:val="28"/>
          <w:szCs w:val="28"/>
        </w:rPr>
      </w:pPr>
      <w:r w:rsidRPr="00362AAB">
        <w:rPr>
          <w:b/>
          <w:bCs/>
          <w:sz w:val="28"/>
          <w:szCs w:val="28"/>
        </w:rPr>
        <w:lastRenderedPageBreak/>
        <w:t>STATE CASES</w:t>
      </w:r>
    </w:p>
    <w:p w14:paraId="6CE951F1" w14:textId="77777777" w:rsidR="00AA5096" w:rsidRDefault="00AA5096" w:rsidP="00AA5096"/>
    <w:p w14:paraId="3FF5A86C" w14:textId="2AFD1446" w:rsidR="00362AAB" w:rsidRDefault="00362AAB" w:rsidP="00AA5096">
      <w:r>
        <w:t>GEORGIA</w:t>
      </w:r>
    </w:p>
    <w:p w14:paraId="6A3462EE" w14:textId="77777777" w:rsidR="00362AAB" w:rsidRDefault="00362AAB" w:rsidP="00AA5096"/>
    <w:p w14:paraId="3FF47935" w14:textId="3A4B6627" w:rsidR="00AC394C" w:rsidRPr="00AC394C" w:rsidRDefault="00AC394C" w:rsidP="00AC394C">
      <w:pPr>
        <w:rPr>
          <w:b/>
          <w:bCs/>
        </w:rPr>
      </w:pPr>
      <w:r w:rsidRPr="00AC394C">
        <w:rPr>
          <w:b/>
          <w:bCs/>
        </w:rPr>
        <w:t>Jones v. State</w:t>
      </w:r>
    </w:p>
    <w:p w14:paraId="7FEECE15" w14:textId="5FF7352D" w:rsidR="00AC394C" w:rsidRDefault="00AC394C" w:rsidP="00AC394C">
      <w:r>
        <w:t>Supreme Court of Georgia</w:t>
      </w:r>
    </w:p>
    <w:p w14:paraId="0764EDE6" w14:textId="629487ED" w:rsidR="00AC394C" w:rsidRDefault="00AC394C" w:rsidP="00AC394C">
      <w:r w:rsidRPr="00AC394C">
        <w:t>March 4, 2025</w:t>
      </w:r>
    </w:p>
    <w:p w14:paraId="5E4E15F7" w14:textId="77777777" w:rsidR="00AC394C" w:rsidRDefault="00AC394C" w:rsidP="00AC394C"/>
    <w:p w14:paraId="74AD811D" w14:textId="7523B1D7" w:rsidR="00AC394C" w:rsidRDefault="00AC394C" w:rsidP="00AC394C">
      <w:r>
        <w:t xml:space="preserve">LEO LAW Topics: </w:t>
      </w:r>
      <w:r w:rsidR="008608B8">
        <w:t>[cellphone warrants were supported by probable cause and were sufficiently particular]</w:t>
      </w:r>
    </w:p>
    <w:p w14:paraId="3F3F3450" w14:textId="77777777" w:rsidR="00AC394C" w:rsidRDefault="00AC394C" w:rsidP="00AC394C"/>
    <w:p w14:paraId="76C6C7C9" w14:textId="77777777" w:rsidR="00AC394C" w:rsidRDefault="00AC394C" w:rsidP="00AC394C">
      <w:r>
        <w:t>James Christopher Jones was charged with murder after police identified her using cell phone location history obtained through search warrants. The warrants allowed police to get an anonymized list of devices near the victim’s home during the murder and identifying information for relevant devices. Jones moved to suppress this evidence, arguing the warrants violated the Fourth Amendment due to lack of probable cause and particularity. The trial court denied the motion, and Jones appealed.</w:t>
      </w:r>
    </w:p>
    <w:p w14:paraId="42EB6B59" w14:textId="77777777" w:rsidR="00AC394C" w:rsidRDefault="00AC394C" w:rsidP="00AC394C"/>
    <w:p w14:paraId="5C81FC96" w14:textId="77777777" w:rsidR="00AC394C" w:rsidRDefault="00AC394C" w:rsidP="00AC394C">
      <w:r>
        <w:t xml:space="preserve">The trial court found the warrants were supported by probable cause and were sufficiently particular. The first warrant was based on evidence that the suspect used a cell phone near the victim’s home, and the second warrant, obtained after analyzing the anonymized data, identified a specific device linked to the suspect. The court concluded that the affidavits provided a fair probability that the location data and identifying information would yield evidence of the crime. The court also found the warrants were </w:t>
      </w:r>
      <w:proofErr w:type="gramStart"/>
      <w:r>
        <w:t>particular enough</w:t>
      </w:r>
      <w:proofErr w:type="gramEnd"/>
      <w:r>
        <w:t>, specifying the crime, date, time, location, and a reasonable 100-meter radius.</w:t>
      </w:r>
    </w:p>
    <w:p w14:paraId="01C3FCBC" w14:textId="77777777" w:rsidR="00AC394C" w:rsidRDefault="00AC394C" w:rsidP="00AC394C"/>
    <w:p w14:paraId="76A39E95" w14:textId="56C35D89" w:rsidR="00AA5096" w:rsidRDefault="00AC394C" w:rsidP="00AC394C">
      <w:r>
        <w:t>The Supreme Court of Georgia affirmed the trial court’s decision. The court held that the warrants were supported by probable cause, as the suspect was seen using a cell phone near the crime scene, and the location data was likely to help identify the suspect. The court also found the warrants met the particularity requirement, as they provided specific guidance on the information to be accessed and avoided unfettered discretion. The court rejected Jones’s arguments about overbreadth and lack of particularity, noting that the warrants were appropriately tailored to the investigation and did not authorize a general search. The judgment was affirmed.</w:t>
      </w:r>
    </w:p>
    <w:p w14:paraId="086D4D40" w14:textId="77777777" w:rsidR="00AA5096" w:rsidRDefault="00AA5096" w:rsidP="00AA5096"/>
    <w:p w14:paraId="029A973F" w14:textId="17201BA5" w:rsidR="00AA5096" w:rsidRDefault="008608B8" w:rsidP="00AA5096">
      <w:hyperlink r:id="rId10" w:history="1">
        <w:r w:rsidRPr="002A72BE">
          <w:rPr>
            <w:rStyle w:val="Hyperlink"/>
          </w:rPr>
          <w:t>https://cases.justia.com/georgia/supreme-court/2025-s24a1085.pdf</w:t>
        </w:r>
      </w:hyperlink>
    </w:p>
    <w:p w14:paraId="797DA648" w14:textId="77777777" w:rsidR="008608B8" w:rsidRDefault="008608B8" w:rsidP="00AA5096"/>
    <w:p w14:paraId="13EE86B8" w14:textId="77777777" w:rsidR="00AA5096" w:rsidRDefault="00AA5096" w:rsidP="00AA5096"/>
    <w:p w14:paraId="2AB8ED27" w14:textId="78EE82B2" w:rsidR="009B5FD3" w:rsidRDefault="009B5FD3" w:rsidP="00AA5096">
      <w:r>
        <w:t>SOUTH DAKOTA</w:t>
      </w:r>
    </w:p>
    <w:p w14:paraId="1C915BD9" w14:textId="77777777" w:rsidR="009B5FD3" w:rsidRDefault="009B5FD3" w:rsidP="00AA5096"/>
    <w:p w14:paraId="422B8478" w14:textId="491C56F6" w:rsidR="009B5FD3" w:rsidRPr="009B5FD3" w:rsidRDefault="009B5FD3" w:rsidP="009B5FD3">
      <w:pPr>
        <w:rPr>
          <w:b/>
          <w:bCs/>
        </w:rPr>
      </w:pPr>
      <w:r w:rsidRPr="009B5FD3">
        <w:rPr>
          <w:b/>
          <w:bCs/>
        </w:rPr>
        <w:t xml:space="preserve">State v. </w:t>
      </w:r>
      <w:proofErr w:type="gramStart"/>
      <w:r w:rsidRPr="009B5FD3">
        <w:rPr>
          <w:b/>
          <w:bCs/>
        </w:rPr>
        <w:t>Turner</w:t>
      </w:r>
      <w:r w:rsidR="008608B8">
        <w:rPr>
          <w:b/>
          <w:bCs/>
        </w:rPr>
        <w:t xml:space="preserve">  DO</w:t>
      </w:r>
      <w:proofErr w:type="gramEnd"/>
      <w:r w:rsidR="008608B8">
        <w:rPr>
          <w:b/>
          <w:bCs/>
        </w:rPr>
        <w:t xml:space="preserve"> NOT USE</w:t>
      </w:r>
    </w:p>
    <w:p w14:paraId="1AC3EB08" w14:textId="4A7A5DAC" w:rsidR="009B5FD3" w:rsidRDefault="009B5FD3" w:rsidP="009B5FD3">
      <w:r>
        <w:t>South Dakota Supreme Court</w:t>
      </w:r>
    </w:p>
    <w:p w14:paraId="691C5437" w14:textId="68F597C7" w:rsidR="009B5FD3" w:rsidRDefault="009B5FD3" w:rsidP="009B5FD3">
      <w:r w:rsidRPr="009B5FD3">
        <w:t>March 5, 2025</w:t>
      </w:r>
    </w:p>
    <w:p w14:paraId="7ED7B8AA" w14:textId="77777777" w:rsidR="009B5FD3" w:rsidRDefault="009B5FD3" w:rsidP="009B5FD3">
      <w:r>
        <w:t>Citation: 2025 S.D. 13</w:t>
      </w:r>
    </w:p>
    <w:p w14:paraId="34D4472C" w14:textId="77777777" w:rsidR="009B5FD3" w:rsidRDefault="009B5FD3" w:rsidP="009B5FD3"/>
    <w:p w14:paraId="2A6E9276" w14:textId="5C1E41B4" w:rsidR="009B5FD3" w:rsidRDefault="009B5FD3" w:rsidP="009B5FD3">
      <w:r>
        <w:t xml:space="preserve">LEO LAW Topic: Show-Up </w:t>
      </w:r>
      <w:proofErr w:type="gramStart"/>
      <w:r>
        <w:t>Identification</w:t>
      </w:r>
      <w:r w:rsidR="008608B8">
        <w:t xml:space="preserve">  DO</w:t>
      </w:r>
      <w:proofErr w:type="gramEnd"/>
      <w:r w:rsidR="008608B8">
        <w:t xml:space="preserve"> NOT USE OR CITE</w:t>
      </w:r>
    </w:p>
    <w:p w14:paraId="6EF57FD2" w14:textId="77777777" w:rsidR="009B5FD3" w:rsidRDefault="009B5FD3" w:rsidP="009B5FD3"/>
    <w:p w14:paraId="5B359C04" w14:textId="77777777" w:rsidR="009B5FD3" w:rsidRDefault="009B5FD3" w:rsidP="009B5FD3">
      <w:proofErr w:type="spellStart"/>
      <w:r>
        <w:t>Lydelle</w:t>
      </w:r>
      <w:proofErr w:type="spellEnd"/>
      <w:r>
        <w:t xml:space="preserve"> Turner was indicted on multiple counts following a drive-by shooting in Sioux Falls. He filed several motions, including a motion to suppress, a motion to dismiss, a motion for judgment of acquittal, and a motion for a new trial, all of which were denied by the circuit court. Turner objected to the introduction of a screenshot photograph from a traffic camera video, but the court overruled this </w:t>
      </w:r>
      <w:r>
        <w:lastRenderedPageBreak/>
        <w:t>objection. The court also rejected three jury instructions proposed by Turner. Turner appealed these decisions.</w:t>
      </w:r>
    </w:p>
    <w:p w14:paraId="32AF21B1" w14:textId="77777777" w:rsidR="009B5FD3" w:rsidRDefault="009B5FD3" w:rsidP="009B5FD3"/>
    <w:p w14:paraId="03AC4DC9" w14:textId="77777777" w:rsidR="009B5FD3" w:rsidRDefault="009B5FD3" w:rsidP="009B5FD3">
      <w:r>
        <w:t>The circuit court denied Turner’s motion to suppress Driver’s identification, finding the identification procedure suggestive but necessary under the circumstances. The court also denied Turner’s motion to dismiss based on the late disclosure of a ballistics report, instead granting a continuance to allow Turner time to prepare. The court admitted the Milestone photograph into evidence, despite Turner’s objections regarding foundation and hearsay. Turner’s motion for judgment of acquittal was denied, with the court interpreting SDCL 22-14-20 as not requiring the State to prove that the vehicles were occupied at the time of the shooting. The court also denied Turner’s proposed jury instructions related to eyewitness identification and the interpretation of SDCL 22-14-20.</w:t>
      </w:r>
    </w:p>
    <w:p w14:paraId="0430BA44" w14:textId="77777777" w:rsidR="009B5FD3" w:rsidRDefault="009B5FD3" w:rsidP="009B5FD3"/>
    <w:p w14:paraId="582A8512" w14:textId="5C66768D" w:rsidR="009B5FD3" w:rsidRDefault="009B5FD3" w:rsidP="009B5FD3">
      <w:r>
        <w:t>The Supreme Court of South Dakota affirmed the circuit court’s decisions. It held that the show-up identification was necessary and reliable, the continuance was an appropriate remedy for the late disclosure of the ballistics report, and the admission of the Milestone photograph, though an abuse of discretion, was not prejudicial. The court also upheld the denial of Turner’s motion for judgment of acquittal and his proposed jury instructions, finding no abuse of discretion. Finally, the court found no due process violation in the handling of the Milestone video and Flores’ testimony, affirming the denial of Turner’s motion for a new trial.</w:t>
      </w:r>
    </w:p>
    <w:p w14:paraId="661A9C0C" w14:textId="77777777" w:rsidR="009B5FD3" w:rsidRDefault="009B5FD3" w:rsidP="009B5FD3"/>
    <w:p w14:paraId="5556C3EF" w14:textId="1761D18F" w:rsidR="009B5FD3" w:rsidRDefault="009B5FD3" w:rsidP="009B5FD3">
      <w:hyperlink r:id="rId11" w:history="1">
        <w:r w:rsidRPr="0026472D">
          <w:rPr>
            <w:rStyle w:val="Hyperlink"/>
          </w:rPr>
          <w:t>https://cases.justia.com/south-dakota/supreme-court/2025-30569.pdf?ts=1741277389</w:t>
        </w:r>
      </w:hyperlink>
      <w:r>
        <w:t xml:space="preserve"> </w:t>
      </w:r>
    </w:p>
    <w:p w14:paraId="40BEAD16" w14:textId="77777777" w:rsidR="009B5FD3" w:rsidRDefault="009B5FD3" w:rsidP="009B5FD3"/>
    <w:p w14:paraId="03280C5E" w14:textId="77777777" w:rsidR="009B5FD3" w:rsidRDefault="009B5FD3" w:rsidP="009B5FD3"/>
    <w:p w14:paraId="1A2A80BC" w14:textId="77777777" w:rsidR="009B5FD3" w:rsidRDefault="009B5FD3" w:rsidP="00AA5096"/>
    <w:p w14:paraId="2BA74739" w14:textId="1AAE34E3" w:rsidR="00AA5096" w:rsidRPr="00362AAB" w:rsidRDefault="00362AAB" w:rsidP="00AA5096">
      <w:pPr>
        <w:rPr>
          <w:b/>
          <w:bCs/>
          <w:sz w:val="28"/>
          <w:szCs w:val="28"/>
        </w:rPr>
      </w:pPr>
      <w:r w:rsidRPr="00362AAB">
        <w:rPr>
          <w:b/>
          <w:bCs/>
          <w:sz w:val="28"/>
          <w:szCs w:val="28"/>
        </w:rPr>
        <w:t>USE OF FORCE</w:t>
      </w:r>
    </w:p>
    <w:p w14:paraId="44FCE40B" w14:textId="77777777" w:rsidR="00362AAB" w:rsidRDefault="00362AAB" w:rsidP="00AA5096"/>
    <w:p w14:paraId="34BC4BE8" w14:textId="77777777" w:rsidR="00362AAB" w:rsidRPr="00AA5096" w:rsidRDefault="00362AAB" w:rsidP="00362AAB">
      <w:pPr>
        <w:rPr>
          <w:b/>
          <w:bCs/>
        </w:rPr>
      </w:pPr>
      <w:r w:rsidRPr="00AA5096">
        <w:rPr>
          <w:b/>
          <w:bCs/>
        </w:rPr>
        <w:t>Johnson v. Myers</w:t>
      </w:r>
    </w:p>
    <w:p w14:paraId="36B8D195" w14:textId="77777777" w:rsidR="00362AAB" w:rsidRDefault="00362AAB" w:rsidP="00362AAB">
      <w:r>
        <w:t>U.S. Court of Appeals for the Ninth Circuit</w:t>
      </w:r>
    </w:p>
    <w:p w14:paraId="6B4D13D9" w14:textId="77777777" w:rsidR="00362AAB" w:rsidRDefault="00362AAB" w:rsidP="00362AAB">
      <w:r w:rsidRPr="00AA5096">
        <w:t>March 3, 2025</w:t>
      </w:r>
    </w:p>
    <w:p w14:paraId="06FF5A0E" w14:textId="77777777" w:rsidR="00362AAB" w:rsidRDefault="00362AAB" w:rsidP="00362AAB">
      <w:r>
        <w:t>Docket: 24-349</w:t>
      </w:r>
    </w:p>
    <w:p w14:paraId="0D2E860F" w14:textId="77777777" w:rsidR="00362AAB" w:rsidRDefault="00362AAB" w:rsidP="00362AAB"/>
    <w:p w14:paraId="4CD99F0D" w14:textId="67344A98" w:rsidR="00362AAB" w:rsidRDefault="00362AAB" w:rsidP="00362AAB">
      <w:r>
        <w:t xml:space="preserve">LEO LAW Topics: </w:t>
      </w:r>
      <w:r w:rsidR="008608B8">
        <w:t>[issue of fact precluded qualified immunity for excessive deadly force]</w:t>
      </w:r>
    </w:p>
    <w:p w14:paraId="53B79900" w14:textId="77777777" w:rsidR="00362AAB" w:rsidRDefault="00362AAB" w:rsidP="00362AAB"/>
    <w:p w14:paraId="457588B0" w14:textId="77777777" w:rsidR="00362AAB" w:rsidRDefault="00362AAB" w:rsidP="00362AAB">
      <w:r>
        <w:t>Ryan Smith was shot and killed by Seattle police officers Christopher Myers and Ryan Beecroft during a response to a 911 call from Smith's girlfriend, Katy Nolan, who reported that Smith was threatening to kill both himself and her with a knife. When the officers arrived, they kicked in the door to Smith's apartment, and within 5.87 seconds, they shot Smith, who was holding a pocketknife. Smith raised his right arm across his chest and took a step forward before being shot. The officers did not issue any warnings before using deadly force.</w:t>
      </w:r>
    </w:p>
    <w:p w14:paraId="4909B329" w14:textId="77777777" w:rsidR="00362AAB" w:rsidRDefault="00362AAB" w:rsidP="00362AAB"/>
    <w:p w14:paraId="142B02F7" w14:textId="77777777" w:rsidR="00362AAB" w:rsidRDefault="00362AAB" w:rsidP="00362AAB">
      <w:r>
        <w:t>The United States District Court for the Western District of Washington denied the officers' motion for partial summary judgment based on qualified immunity. The district court found that there were factual disputes regarding whether a reasonable officer would have believed Smith posed an immediate threat and whether less drastic measures were feasible. The court concluded that the law was clearly established that officers may not use deadly force against suspects who do not pose an immediate threat.</w:t>
      </w:r>
    </w:p>
    <w:p w14:paraId="511D73C1" w14:textId="77777777" w:rsidR="00362AAB" w:rsidRDefault="00362AAB" w:rsidP="00362AAB"/>
    <w:p w14:paraId="71EE8B87" w14:textId="77777777" w:rsidR="00362AAB" w:rsidRDefault="00362AAB" w:rsidP="00362AAB">
      <w:r>
        <w:lastRenderedPageBreak/>
        <w:t>The United States Court of Appeals for the Ninth Circuit affirmed the district court's decision. The Ninth Circuit held that it had jurisdiction over the interlocutory appeal and that, viewing the evidence in the light most favorable to the plaintiffs, the officers were not entitled to qualified immunity. The court determined that a reasonable juror could conclude that Smith did not pose an immediate threat to the officers or others, and that the use of deadly force was not justified. The court emphasized that it was clearly established law that a fatal shooting under these circumstances violated the Fourth Amendment. The Ninth Circuit affirmed the district court's denial of qualified immunity.</w:t>
      </w:r>
    </w:p>
    <w:p w14:paraId="10287630" w14:textId="77777777" w:rsidR="00362AAB" w:rsidRDefault="00362AAB" w:rsidP="00AA5096"/>
    <w:p w14:paraId="5A3F4509" w14:textId="66774E09" w:rsidR="00AA5096" w:rsidRDefault="00C86B83" w:rsidP="00AA5096">
      <w:hyperlink r:id="rId12" w:history="1">
        <w:r w:rsidRPr="0026472D">
          <w:rPr>
            <w:rStyle w:val="Hyperlink"/>
          </w:rPr>
          <w:t>https://cases.justia.com/federal/appellate-courts/ca9/24-349/24-349-2025-03-03.pdf?ts=1741023044</w:t>
        </w:r>
      </w:hyperlink>
    </w:p>
    <w:p w14:paraId="1838AE89" w14:textId="77777777" w:rsidR="00AA5096" w:rsidRDefault="00AA5096" w:rsidP="00AA5096"/>
    <w:p w14:paraId="1556FEC0" w14:textId="77777777" w:rsidR="00AA5096" w:rsidRDefault="00AA5096" w:rsidP="00AA5096"/>
    <w:p w14:paraId="6C81DE3D" w14:textId="4E11C8B2" w:rsidR="00AA5096" w:rsidRPr="00C86B83" w:rsidRDefault="00D14F81" w:rsidP="00AA5096">
      <w:pPr>
        <w:rPr>
          <w:b/>
          <w:bCs/>
          <w:sz w:val="24"/>
          <w:szCs w:val="24"/>
        </w:rPr>
      </w:pPr>
      <w:r w:rsidRPr="00C86B83">
        <w:rPr>
          <w:b/>
          <w:bCs/>
          <w:sz w:val="24"/>
          <w:szCs w:val="24"/>
        </w:rPr>
        <w:t>CONSTITUTIONAL POLICING</w:t>
      </w:r>
    </w:p>
    <w:p w14:paraId="26AA43DA" w14:textId="77777777" w:rsidR="00D14F81" w:rsidRDefault="00D14F81" w:rsidP="00AA5096"/>
    <w:p w14:paraId="300E502F" w14:textId="77777777" w:rsidR="00D14F81" w:rsidRPr="00D14F81" w:rsidRDefault="00D14F81" w:rsidP="00D14F81">
      <w:pPr>
        <w:rPr>
          <w:b/>
          <w:bCs/>
        </w:rPr>
      </w:pPr>
      <w:r w:rsidRPr="00D14F81">
        <w:rPr>
          <w:b/>
          <w:bCs/>
        </w:rPr>
        <w:t>Jackson v. Super. Ct.</w:t>
      </w:r>
    </w:p>
    <w:p w14:paraId="60D0CF37" w14:textId="77777777" w:rsidR="00D14F81" w:rsidRDefault="00D14F81" w:rsidP="00D14F81">
      <w:r>
        <w:t>Court: California Courts of Appeal</w:t>
      </w:r>
    </w:p>
    <w:p w14:paraId="45AA4DD1" w14:textId="6F1A3E75" w:rsidR="00D14F81" w:rsidRDefault="00D14F81" w:rsidP="00D14F81">
      <w:r w:rsidRPr="00D14F81">
        <w:t>February 28, 2025</w:t>
      </w:r>
    </w:p>
    <w:p w14:paraId="317826CA" w14:textId="77777777" w:rsidR="00D14F81" w:rsidRDefault="00D14F81" w:rsidP="00D14F81">
      <w:r>
        <w:t>Docket: D084751(Fourth Appellate District)</w:t>
      </w:r>
    </w:p>
    <w:p w14:paraId="6974E162" w14:textId="77777777" w:rsidR="00D14F81" w:rsidRDefault="00D14F81" w:rsidP="00D14F81"/>
    <w:p w14:paraId="2E82B69F" w14:textId="7DE2806E" w:rsidR="00D14F81" w:rsidRDefault="00D14F81" w:rsidP="00D14F81">
      <w:r>
        <w:t>LEO LAW Topics: Constitutional Policing</w:t>
      </w:r>
    </w:p>
    <w:p w14:paraId="161B2415" w14:textId="77777777" w:rsidR="00D14F81" w:rsidRDefault="00D14F81" w:rsidP="00D14F81"/>
    <w:p w14:paraId="67A4C980" w14:textId="77777777" w:rsidR="00D14F81" w:rsidRDefault="00D14F81" w:rsidP="00D14F81">
      <w:r>
        <w:t>Elijah Jackson, a Black man, was charged with carrying a loaded firearm after police found a handgun during a search of the car he was driving. Jackson filed a motion under the California Racial Justice Act of 2020, arguing that the police stopped and searched his car due to racial bias. The superior court denied his motion, stating that Jackson failed to establish a prima facie violation under the Racial Justice Act.</w:t>
      </w:r>
    </w:p>
    <w:p w14:paraId="37D3283D" w14:textId="77777777" w:rsidR="00D14F81" w:rsidRDefault="00D14F81" w:rsidP="00D14F81"/>
    <w:p w14:paraId="3ABB85DA" w14:textId="77777777" w:rsidR="00D14F81" w:rsidRDefault="00D14F81" w:rsidP="00D14F81">
      <w:r>
        <w:t>The superior court found that the police officers were conducting a saturation patrol in a high-crime area and stopped Jackson for having illegally tinted windows. The officers observed Jackson and his brother, who were wearing clothing associated with gang members, and conducted a traffic stop. During the stop, the officers found a baseball bat in the car and, after a search, discovered an unregistered loaded firearm. Jackson argued that the stop and search were racially motivated, supported by statistical evidence showing racial disparities in traffic stops and searches by the San Diego Police Department (SDPD).</w:t>
      </w:r>
    </w:p>
    <w:p w14:paraId="470ABFEE" w14:textId="77777777" w:rsidR="00D14F81" w:rsidRDefault="00D14F81" w:rsidP="00D14F81"/>
    <w:p w14:paraId="0271EF19" w14:textId="77777777" w:rsidR="00D14F81" w:rsidRDefault="00D14F81" w:rsidP="00D14F81">
      <w:r>
        <w:t>The Court of Appeal, Fourth Appellate District, reviewed the case and concluded that Jackson had produced facts that, if true, established a substantial likelihood of a violation of the Racial Justice Act. The court noted the statistical evidence showing racial disparities in SDPD's traffic stops and searches, as well as Jackson's and his brother's repeated stops for the same tinted windows without receiving citations. The court also considered the officers' focus on Jackson's and his brother's appearance and the neighborhood they were in, which suggested implicit bias.</w:t>
      </w:r>
    </w:p>
    <w:p w14:paraId="67EE3931" w14:textId="77777777" w:rsidR="00D14F81" w:rsidRDefault="00D14F81" w:rsidP="00D14F81"/>
    <w:p w14:paraId="44BB0223" w14:textId="391505F7" w:rsidR="00D14F81" w:rsidRDefault="00D14F81" w:rsidP="00D14F81">
      <w:r>
        <w:t>The Court of Appeal issued a writ of mandate directing the superior court to grant an evidentiary hearing to consider Jackson's motion under the Racial Justice Act. The court emphasized the importance of addressing implicit bias in the criminal justice system and ensuring that race does not play a role in seeking or obtaining convictions.</w:t>
      </w:r>
    </w:p>
    <w:p w14:paraId="628ADFF8" w14:textId="77777777" w:rsidR="00D14F81" w:rsidRDefault="00D14F81" w:rsidP="00D14F81"/>
    <w:p w14:paraId="1FF5FA96" w14:textId="46041622" w:rsidR="00D14F81" w:rsidRDefault="00D14F81" w:rsidP="00AA5096">
      <w:hyperlink r:id="rId13" w:history="1">
        <w:r w:rsidRPr="0026472D">
          <w:rPr>
            <w:rStyle w:val="Hyperlink"/>
          </w:rPr>
          <w:t>https://cases.justia.com/california/court-of-appeal/2025-d084751.pdf?ts=1740771088</w:t>
        </w:r>
      </w:hyperlink>
    </w:p>
    <w:p w14:paraId="6C6264D3" w14:textId="77777777" w:rsidR="00D14F81" w:rsidRDefault="00D14F81" w:rsidP="00AA5096"/>
    <w:p w14:paraId="7CA46985" w14:textId="77777777" w:rsidR="00D14F81" w:rsidRDefault="00D14F81" w:rsidP="00AA5096"/>
    <w:p w14:paraId="7028F9EC" w14:textId="77777777" w:rsidR="00D14F81" w:rsidRDefault="00D14F81" w:rsidP="00AA5096"/>
    <w:p w14:paraId="415D29D4" w14:textId="77777777" w:rsidR="00D14F81" w:rsidRDefault="00D14F81" w:rsidP="00AA5096"/>
    <w:sectPr w:rsidR="00D14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BB"/>
    <w:rsid w:val="00006445"/>
    <w:rsid w:val="001F456C"/>
    <w:rsid w:val="00362AAB"/>
    <w:rsid w:val="003863BB"/>
    <w:rsid w:val="00533A48"/>
    <w:rsid w:val="008608B8"/>
    <w:rsid w:val="009B5FD3"/>
    <w:rsid w:val="00AA5096"/>
    <w:rsid w:val="00AC394C"/>
    <w:rsid w:val="00C86B83"/>
    <w:rsid w:val="00D14F81"/>
    <w:rsid w:val="00D9486F"/>
    <w:rsid w:val="00E87968"/>
    <w:rsid w:val="00F14698"/>
    <w:rsid w:val="00F50F58"/>
    <w:rsid w:val="00F70320"/>
    <w:rsid w:val="00F819EA"/>
    <w:rsid w:val="00F9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C97E1"/>
  <w15:chartTrackingRefBased/>
  <w15:docId w15:val="{607DEDB2-28C0-49E4-85C3-8B372ACD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3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BB"/>
    <w:rPr>
      <w:rFonts w:eastAsiaTheme="majorEastAsia" w:cstheme="majorBidi"/>
      <w:color w:val="272727" w:themeColor="text1" w:themeTint="D8"/>
    </w:rPr>
  </w:style>
  <w:style w:type="paragraph" w:styleId="Title">
    <w:name w:val="Title"/>
    <w:basedOn w:val="Normal"/>
    <w:next w:val="Normal"/>
    <w:link w:val="TitleChar"/>
    <w:uiPriority w:val="10"/>
    <w:qFormat/>
    <w:rsid w:val="003863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63BB"/>
    <w:rPr>
      <w:i/>
      <w:iCs/>
      <w:color w:val="404040" w:themeColor="text1" w:themeTint="BF"/>
    </w:rPr>
  </w:style>
  <w:style w:type="paragraph" w:styleId="ListParagraph">
    <w:name w:val="List Paragraph"/>
    <w:basedOn w:val="Normal"/>
    <w:uiPriority w:val="34"/>
    <w:qFormat/>
    <w:rsid w:val="003863BB"/>
    <w:pPr>
      <w:ind w:left="720"/>
      <w:contextualSpacing/>
    </w:pPr>
  </w:style>
  <w:style w:type="character" w:styleId="IntenseEmphasis">
    <w:name w:val="Intense Emphasis"/>
    <w:basedOn w:val="DefaultParagraphFont"/>
    <w:uiPriority w:val="21"/>
    <w:qFormat/>
    <w:rsid w:val="003863BB"/>
    <w:rPr>
      <w:i/>
      <w:iCs/>
      <w:color w:val="2F5496" w:themeColor="accent1" w:themeShade="BF"/>
    </w:rPr>
  </w:style>
  <w:style w:type="paragraph" w:styleId="IntenseQuote">
    <w:name w:val="Intense Quote"/>
    <w:basedOn w:val="Normal"/>
    <w:next w:val="Normal"/>
    <w:link w:val="IntenseQuoteChar"/>
    <w:uiPriority w:val="30"/>
    <w:qFormat/>
    <w:rsid w:val="00386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3BB"/>
    <w:rPr>
      <w:i/>
      <w:iCs/>
      <w:color w:val="2F5496" w:themeColor="accent1" w:themeShade="BF"/>
    </w:rPr>
  </w:style>
  <w:style w:type="character" w:styleId="IntenseReference">
    <w:name w:val="Intense Reference"/>
    <w:basedOn w:val="DefaultParagraphFont"/>
    <w:uiPriority w:val="32"/>
    <w:qFormat/>
    <w:rsid w:val="003863BB"/>
    <w:rPr>
      <w:b/>
      <w:bCs/>
      <w:smallCaps/>
      <w:color w:val="2F5496" w:themeColor="accent1" w:themeShade="BF"/>
      <w:spacing w:val="5"/>
    </w:rPr>
  </w:style>
  <w:style w:type="character" w:styleId="Hyperlink">
    <w:name w:val="Hyperlink"/>
    <w:basedOn w:val="DefaultParagraphFont"/>
    <w:uiPriority w:val="99"/>
    <w:unhideWhenUsed/>
    <w:rsid w:val="00D14F81"/>
    <w:rPr>
      <w:color w:val="0563C1" w:themeColor="hyperlink"/>
      <w:u w:val="single"/>
    </w:rPr>
  </w:style>
  <w:style w:type="character" w:styleId="UnresolvedMention">
    <w:name w:val="Unresolved Mention"/>
    <w:basedOn w:val="DefaultParagraphFont"/>
    <w:uiPriority w:val="99"/>
    <w:semiHidden/>
    <w:unhideWhenUsed/>
    <w:rsid w:val="00D14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9/23-1703/23-1703-2025-03-05.pdf?ts=1741194215" TargetMode="External"/><Relationship Id="rId13" Type="http://schemas.openxmlformats.org/officeDocument/2006/relationships/hyperlink" Target="https://cases.justia.com/california/court-of-appeal/2025-d084751.pdf?ts=1740771088" TargetMode="External"/><Relationship Id="rId3" Type="http://schemas.openxmlformats.org/officeDocument/2006/relationships/webSettings" Target="webSettings.xml"/><Relationship Id="rId7" Type="http://schemas.openxmlformats.org/officeDocument/2006/relationships/hyperlink" Target="https://cases.justia.com/federal/appellate-courts/ca8/23-3674/23-3674-2025-02-28.pdf?ts=1740760220" TargetMode="External"/><Relationship Id="rId12" Type="http://schemas.openxmlformats.org/officeDocument/2006/relationships/hyperlink" Target="https://cases.justia.com/federal/appellate-courts/ca9/24-349/24-349-2025-03-03.pdf?ts=174102304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5/24-30294/24-30294-2025-03-03.pdf" TargetMode="External"/><Relationship Id="rId11" Type="http://schemas.openxmlformats.org/officeDocument/2006/relationships/hyperlink" Target="https://cases.justia.com/south-dakota/supreme-court/2025-30569.pdf?ts=1741277389" TargetMode="External"/><Relationship Id="rId5" Type="http://schemas.openxmlformats.org/officeDocument/2006/relationships/hyperlink" Target="https://cases.justia.com/federal/appellate-courts/ca5/24-60314/24-60314-2025-03-03.pdf" TargetMode="External"/><Relationship Id="rId15" Type="http://schemas.openxmlformats.org/officeDocument/2006/relationships/theme" Target="theme/theme1.xml"/><Relationship Id="rId10" Type="http://schemas.openxmlformats.org/officeDocument/2006/relationships/hyperlink" Target="https://cases.justia.com/georgia/supreme-court/2025-s24a1085.pdf" TargetMode="External"/><Relationship Id="rId4" Type="http://schemas.openxmlformats.org/officeDocument/2006/relationships/hyperlink" Target="https://cases.justia.com/federal/appellate-courts/ca4/23-4568/23-4568-2025-03-04.pdf" TargetMode="External"/><Relationship Id="rId9" Type="http://schemas.openxmlformats.org/officeDocument/2006/relationships/hyperlink" Target="https://cases.justia.com/federal/appellate-courts/ca10/24-2059/24-2059-2025-03-05.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2880</Words>
  <Characters>16628</Characters>
  <Application>Microsoft Office Word</Application>
  <DocSecurity>0</DocSecurity>
  <Lines>331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9</cp:revision>
  <dcterms:created xsi:type="dcterms:W3CDTF">2025-03-09T11:58:00Z</dcterms:created>
  <dcterms:modified xsi:type="dcterms:W3CDTF">2025-07-06T13:59:00Z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f650bb30-2dd7-42e3-9d5b-53450310b864</vt:lpwstr>
  </property>
</Properties>
</file>