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7A2D" w14:textId="293ABE21" w:rsidR="00DF4922" w:rsidRDefault="00D85420">
      <w:r>
        <w:t>BF 4APR2025</w:t>
      </w:r>
    </w:p>
    <w:p w14:paraId="105C0F88" w14:textId="77777777" w:rsidR="00D85420" w:rsidRDefault="00D85420"/>
    <w:p w14:paraId="42E622D6" w14:textId="77777777" w:rsidR="00D16EB4" w:rsidRPr="00BE3F4A" w:rsidRDefault="00D16EB4" w:rsidP="00D16EB4">
      <w:pPr>
        <w:rPr>
          <w:b/>
          <w:bCs/>
        </w:rPr>
      </w:pPr>
      <w:r w:rsidRPr="00BE3F4A">
        <w:rPr>
          <w:b/>
          <w:bCs/>
        </w:rPr>
        <w:t>Ledbetter v. Helmers</w:t>
      </w:r>
    </w:p>
    <w:p w14:paraId="6E1ED975" w14:textId="3116EED4" w:rsidR="00D16EB4" w:rsidRDefault="00BE3F4A" w:rsidP="00D16EB4">
      <w:r>
        <w:t>U</w:t>
      </w:r>
      <w:r w:rsidR="00D16EB4">
        <w:t>.S. Court of Appeals for the Eighth Circuit</w:t>
      </w:r>
    </w:p>
    <w:p w14:paraId="3089552A" w14:textId="37125D4B" w:rsidR="00D16EB4" w:rsidRDefault="00BE3F4A" w:rsidP="00D16EB4">
      <w:r w:rsidRPr="00BE3F4A">
        <w:t>April 3, 2025</w:t>
      </w:r>
    </w:p>
    <w:p w14:paraId="1F95093F" w14:textId="77777777" w:rsidR="00D16EB4" w:rsidRDefault="00D16EB4" w:rsidP="00D16EB4">
      <w:r>
        <w:t>Docket: 24-1427</w:t>
      </w:r>
    </w:p>
    <w:p w14:paraId="33907953" w14:textId="77777777" w:rsidR="00D16EB4" w:rsidRDefault="00D16EB4" w:rsidP="00D16EB4"/>
    <w:p w14:paraId="1EB9772D" w14:textId="6B7DB58F" w:rsidR="00D16EB4" w:rsidRPr="000B1B9C" w:rsidRDefault="00BE3F4A" w:rsidP="00D16EB4">
      <w:pPr>
        <w:rPr>
          <w:i/>
          <w:iCs/>
        </w:rPr>
      </w:pPr>
      <w:r w:rsidRPr="000B1B9C">
        <w:rPr>
          <w:i/>
          <w:iCs/>
        </w:rPr>
        <w:t xml:space="preserve">LEO LAW </w:t>
      </w:r>
      <w:proofErr w:type="gramStart"/>
      <w:r w:rsidRPr="000B1B9C">
        <w:rPr>
          <w:i/>
          <w:iCs/>
        </w:rPr>
        <w:t>Topics :</w:t>
      </w:r>
      <w:proofErr w:type="gramEnd"/>
      <w:r w:rsidRPr="000B1B9C">
        <w:rPr>
          <w:i/>
          <w:iCs/>
        </w:rPr>
        <w:t xml:space="preserve"> </w:t>
      </w:r>
      <w:r w:rsidR="000B1B9C" w:rsidRPr="000B1B9C">
        <w:rPr>
          <w:i/>
          <w:iCs/>
        </w:rPr>
        <w:t>8-1, 9-12 E</w:t>
      </w:r>
      <w:r w:rsidRPr="000B1B9C">
        <w:rPr>
          <w:i/>
          <w:iCs/>
        </w:rPr>
        <w:t>xcessive use of force</w:t>
      </w:r>
      <w:r w:rsidR="000B1B9C" w:rsidRPr="000B1B9C">
        <w:rPr>
          <w:i/>
          <w:iCs/>
        </w:rPr>
        <w:t xml:space="preserve"> not clearly established.</w:t>
      </w:r>
    </w:p>
    <w:p w14:paraId="4C1DC33A" w14:textId="77777777" w:rsidR="00D16EB4" w:rsidRDefault="00D16EB4" w:rsidP="00D16EB4"/>
    <w:p w14:paraId="2CD765A8" w14:textId="77777777" w:rsidR="00D16EB4" w:rsidRDefault="00D16EB4" w:rsidP="00D16EB4">
      <w:r>
        <w:t>Devin Ledbetter was seriously injured by Springfield, Missouri police officer Brandon Helmers. Ledbetter sued Helmers under 42 U.S.C. § 1983, claiming Helmers used excessive force in violation of the Fourth Amendment. The incident occurred when Helmers and his partner responded to a 911 call about a man holding a woman captive in a tent. Ledbetter, who was in the tent, exited holding a knife. The accounts of what happened next differ, with Helmers claiming Ledbetter was non-compliant and threatening, while Ledbetter claimed he immediately dropped the knife and was compliant. Ledbetter sustained severe injuries, including a fractured hip, during the arrest.</w:t>
      </w:r>
    </w:p>
    <w:p w14:paraId="5E63B2D9" w14:textId="77777777" w:rsidR="00D16EB4" w:rsidRDefault="00D16EB4" w:rsidP="00D16EB4"/>
    <w:p w14:paraId="31D12059" w14:textId="77777777" w:rsidR="00D16EB4" w:rsidRDefault="00D16EB4" w:rsidP="00D16EB4">
      <w:r>
        <w:t>The United States District Court for the Western District of Missouri denied Helmers's motion for summary judgment based on qualified immunity, noting disputed facts about the threat Ledbetter posed and the amount of force used. The case proceeded to trial, but the jury could not reach a verdict on liability. However, they answered special interrogatories, finding Helmers reasonably believed Ledbetter posed an immediate threat but did not believe Ledbetter was resisting arrest. The district court then granted Helmers's motion for judgment as a matter of law based on qualified immunity, concluding that Helmers did not use excessive force and that his conduct did not violate clearly established law.</w:t>
      </w:r>
    </w:p>
    <w:p w14:paraId="3ED2D74A" w14:textId="77777777" w:rsidR="00D16EB4" w:rsidRDefault="00D16EB4" w:rsidP="00D16EB4"/>
    <w:p w14:paraId="61D8C000" w14:textId="399A0D5F" w:rsidR="00D85420" w:rsidRDefault="00D16EB4" w:rsidP="00D16EB4">
      <w:r>
        <w:t>The United States Court of Appeals for the Eighth Circuit reviewed the case. The court held that a reasonable jury could find Helmers used excessive force, given the evidence and the jury's special findings. However, the court also held that it was not clearly established that Helmers's use of force was excessive under the circumstances, as existing case law did not provide sufficient guidance for the specific situation Helmers faced. Therefore, the court affirmed the district court's judgment granting Helmers qualified immunity.</w:t>
      </w:r>
    </w:p>
    <w:p w14:paraId="20836FB9" w14:textId="77777777" w:rsidR="00D16EB4" w:rsidRDefault="00D16EB4" w:rsidP="00D16EB4"/>
    <w:p w14:paraId="5F41D1D9" w14:textId="596E4D05" w:rsidR="00D16EB4" w:rsidRDefault="00D16EB4" w:rsidP="00D16EB4">
      <w:hyperlink r:id="rId4" w:history="1">
        <w:r w:rsidRPr="0068211C">
          <w:rPr>
            <w:rStyle w:val="Hyperlink"/>
          </w:rPr>
          <w:t>https://cases.justia.com/federal/appellate-courts/ca8/24-1427/24-1427-2025-04-03.pdf</w:t>
        </w:r>
      </w:hyperlink>
      <w:r>
        <w:t xml:space="preserve"> </w:t>
      </w:r>
    </w:p>
    <w:p w14:paraId="11DA93AF" w14:textId="77777777" w:rsidR="00D16EB4" w:rsidRDefault="00D16EB4" w:rsidP="00D16EB4"/>
    <w:p w14:paraId="4F34CC04" w14:textId="77777777" w:rsidR="00D16EB4" w:rsidRDefault="00D16EB4" w:rsidP="00D16EB4"/>
    <w:p w14:paraId="214D0867" w14:textId="3208564F" w:rsidR="00087EEA" w:rsidRPr="00BE3F4A" w:rsidRDefault="00087EEA" w:rsidP="00087EEA">
      <w:pPr>
        <w:rPr>
          <w:b/>
          <w:bCs/>
        </w:rPr>
      </w:pPr>
      <w:r w:rsidRPr="00BE3F4A">
        <w:rPr>
          <w:b/>
          <w:bCs/>
        </w:rPr>
        <w:t>S</w:t>
      </w:r>
      <w:r w:rsidR="00BE3F4A" w:rsidRPr="00BE3F4A">
        <w:rPr>
          <w:b/>
          <w:bCs/>
        </w:rPr>
        <w:t>tate of Arizona v. Melendez</w:t>
      </w:r>
    </w:p>
    <w:p w14:paraId="20C7E2FB" w14:textId="0B0954A4" w:rsidR="00087EEA" w:rsidRDefault="00087EEA" w:rsidP="00087EEA">
      <w:r>
        <w:t>Arizona Supreme Court</w:t>
      </w:r>
    </w:p>
    <w:p w14:paraId="2F5B8B08" w14:textId="67E4706B" w:rsidR="00087EEA" w:rsidRDefault="00BE3F4A" w:rsidP="00087EEA">
      <w:r w:rsidRPr="00BE3F4A">
        <w:t>March 28, 2025</w:t>
      </w:r>
    </w:p>
    <w:p w14:paraId="7A43C154" w14:textId="77777777" w:rsidR="00087EEA" w:rsidRDefault="00087EEA" w:rsidP="00087EEA"/>
    <w:p w14:paraId="024DE321" w14:textId="2DED7809" w:rsidR="00087EEA" w:rsidRPr="000B1B9C" w:rsidRDefault="00BE3F4A" w:rsidP="00087EEA">
      <w:pPr>
        <w:rPr>
          <w:i/>
          <w:iCs/>
        </w:rPr>
      </w:pPr>
      <w:r w:rsidRPr="000B1B9C">
        <w:rPr>
          <w:i/>
          <w:iCs/>
        </w:rPr>
        <w:t xml:space="preserve">LEO LAW </w:t>
      </w:r>
      <w:proofErr w:type="gramStart"/>
      <w:r w:rsidRPr="000B1B9C">
        <w:rPr>
          <w:i/>
          <w:iCs/>
        </w:rPr>
        <w:t>Topics :</w:t>
      </w:r>
      <w:proofErr w:type="gramEnd"/>
      <w:r w:rsidRPr="000B1B9C">
        <w:rPr>
          <w:i/>
          <w:iCs/>
        </w:rPr>
        <w:t xml:space="preserve"> </w:t>
      </w:r>
      <w:r w:rsidR="000B1B9C" w:rsidRPr="000B1B9C">
        <w:rPr>
          <w:i/>
          <w:iCs/>
        </w:rPr>
        <w:t>9-16 Courtroom Testimony D</w:t>
      </w:r>
      <w:r w:rsidRPr="000B1B9C">
        <w:rPr>
          <w:i/>
          <w:iCs/>
        </w:rPr>
        <w:t>ue process rights not violated by reference to Miranda invocation at trial</w:t>
      </w:r>
      <w:r w:rsidR="000B1B9C" w:rsidRPr="000B1B9C">
        <w:rPr>
          <w:i/>
          <w:iCs/>
        </w:rPr>
        <w:t>.</w:t>
      </w:r>
    </w:p>
    <w:p w14:paraId="010F193F" w14:textId="77777777" w:rsidR="00087EEA" w:rsidRDefault="00087EEA" w:rsidP="00087EEA"/>
    <w:p w14:paraId="3B483877" w14:textId="77777777" w:rsidR="00087EEA" w:rsidRDefault="00087EEA" w:rsidP="00087EEA">
      <w:r>
        <w:t xml:space="preserve">Giovani Fuster Melendez moved from Puerto Rico to Arizona in 2017 and became acquainted with the victim, A.G., through a church connection. In 2019, Melendez returned to his former apartment complex, encountered A.G., and fired multiple shots at him, missing each time. Melendez was taken into custody shortly after the incident. During his police interview, he was read his Miranda </w:t>
      </w:r>
      <w:r>
        <w:lastRenderedPageBreak/>
        <w:t>rights twice and initially chose not to speak. However, in a subsequent interview, he deferred answering some questions but eventually confessed to the shooting, claiming self-defense.</w:t>
      </w:r>
    </w:p>
    <w:p w14:paraId="5CAB0F01" w14:textId="77777777" w:rsidR="00087EEA" w:rsidRDefault="00087EEA" w:rsidP="00087EEA"/>
    <w:p w14:paraId="296B8809" w14:textId="77777777" w:rsidR="00087EEA" w:rsidRDefault="00087EEA" w:rsidP="00087EEA">
      <w:r>
        <w:t>The Superior Court in Maricopa County convicted Melendez of aggravated assault and five counts of endangerment, sentencing him to concurrent prison terms. On appeal, the Arizona Court of Appeals found that the State's references to Melendez's selective silence during his police interview violated his constitutional rights, constituting fundamental prejudicial error.</w:t>
      </w:r>
    </w:p>
    <w:p w14:paraId="1D4E7F9D" w14:textId="77777777" w:rsidR="00087EEA" w:rsidRDefault="00087EEA" w:rsidP="00087EEA"/>
    <w:p w14:paraId="4BE9FFA9" w14:textId="6782624E" w:rsidR="00D16EB4" w:rsidRDefault="00087EEA" w:rsidP="00087EEA">
      <w:r>
        <w:t>The Arizona Supreme Court reviewed the case to determine if the State violated Melendez's due process rights by commenting on his post-Miranda statements and temporary deferrals during the trial. The Court held that the State could use a defendant’s post-Miranda statements and temporary deferrals for impeachment purposes if the defendant did not unambiguously invoke his Miranda rights and ultimately spoke on the substantive matters. The Court concluded that Melendez did not unequivocally invoke his right to remain silent and that his deferrals were tactical rather than an invocation of his rights. Therefore, the prosecutor's comments did not violate Melendez's due process rights. The Arizona Supreme Court affirmed Melendez's convictions and sentences and vacated the Court of Appeals' opinion.</w:t>
      </w:r>
    </w:p>
    <w:p w14:paraId="3F9128BB" w14:textId="77777777" w:rsidR="00087EEA" w:rsidRDefault="00087EEA" w:rsidP="00087EEA"/>
    <w:p w14:paraId="77783342" w14:textId="5BA631A0" w:rsidR="00087EEA" w:rsidRDefault="00087EEA" w:rsidP="00087EEA">
      <w:hyperlink r:id="rId5" w:history="1">
        <w:r w:rsidRPr="0068211C">
          <w:rPr>
            <w:rStyle w:val="Hyperlink"/>
          </w:rPr>
          <w:t>https://cases.justia.com/arizona/supreme-court/2025-cr-23-0215-pr.pdf</w:t>
        </w:r>
      </w:hyperlink>
    </w:p>
    <w:p w14:paraId="45342B57" w14:textId="77777777" w:rsidR="00087EEA" w:rsidRDefault="00087EEA" w:rsidP="00087EEA"/>
    <w:p w14:paraId="593F62CD" w14:textId="77777777" w:rsidR="00087EEA" w:rsidRDefault="00087EEA" w:rsidP="00087EEA"/>
    <w:p w14:paraId="134CA79E" w14:textId="635163B0" w:rsidR="00423C27" w:rsidRPr="00BE3F4A" w:rsidRDefault="00423C27" w:rsidP="00423C27">
      <w:pPr>
        <w:rPr>
          <w:b/>
          <w:bCs/>
        </w:rPr>
      </w:pPr>
      <w:r w:rsidRPr="00BE3F4A">
        <w:rPr>
          <w:b/>
          <w:bCs/>
        </w:rPr>
        <w:t xml:space="preserve">People </w:t>
      </w:r>
      <w:r w:rsidR="00BE3F4A" w:rsidRPr="00BE3F4A">
        <w:rPr>
          <w:b/>
          <w:bCs/>
        </w:rPr>
        <w:t>o</w:t>
      </w:r>
      <w:r w:rsidRPr="00BE3F4A">
        <w:rPr>
          <w:b/>
          <w:bCs/>
        </w:rPr>
        <w:t>f Michigan v. Armstrong</w:t>
      </w:r>
    </w:p>
    <w:p w14:paraId="37052C31" w14:textId="25363C87" w:rsidR="00423C27" w:rsidRDefault="00423C27" w:rsidP="00423C27">
      <w:r>
        <w:t>Michigan Supreme Court</w:t>
      </w:r>
    </w:p>
    <w:p w14:paraId="5C7D2758" w14:textId="5099B145" w:rsidR="00423C27" w:rsidRDefault="00BE3F4A" w:rsidP="00423C27">
      <w:r w:rsidRPr="00BE3F4A">
        <w:t>April 2, 2025</w:t>
      </w:r>
    </w:p>
    <w:p w14:paraId="7110B7D2" w14:textId="77777777" w:rsidR="00423C27" w:rsidRDefault="00423C27" w:rsidP="00423C27"/>
    <w:p w14:paraId="0625CA52" w14:textId="53465104" w:rsidR="00423C27" w:rsidRPr="000B1B9C" w:rsidRDefault="00BE3F4A" w:rsidP="00423C27">
      <w:pPr>
        <w:rPr>
          <w:i/>
          <w:iCs/>
        </w:rPr>
      </w:pPr>
      <w:r w:rsidRPr="000B1B9C">
        <w:rPr>
          <w:i/>
          <w:iCs/>
        </w:rPr>
        <w:t xml:space="preserve">LEO LAW </w:t>
      </w:r>
      <w:proofErr w:type="gramStart"/>
      <w:r w:rsidRPr="000B1B9C">
        <w:rPr>
          <w:i/>
          <w:iCs/>
        </w:rPr>
        <w:t>Topics :</w:t>
      </w:r>
      <w:proofErr w:type="gramEnd"/>
      <w:r w:rsidRPr="000B1B9C">
        <w:rPr>
          <w:i/>
          <w:iCs/>
        </w:rPr>
        <w:t xml:space="preserve"> </w:t>
      </w:r>
      <w:r w:rsidR="000B1B9C" w:rsidRPr="000B1B9C">
        <w:rPr>
          <w:i/>
          <w:iCs/>
        </w:rPr>
        <w:t>1-6 S</w:t>
      </w:r>
      <w:r w:rsidRPr="000B1B9C">
        <w:rPr>
          <w:i/>
          <w:iCs/>
        </w:rPr>
        <w:t>mell of marijuana alone no longer establishes probable cause in Michigan</w:t>
      </w:r>
      <w:r w:rsidR="000B1B9C" w:rsidRPr="000B1B9C">
        <w:rPr>
          <w:i/>
          <w:iCs/>
        </w:rPr>
        <w:t>.</w:t>
      </w:r>
    </w:p>
    <w:p w14:paraId="72CF718B" w14:textId="77777777" w:rsidR="00423C27" w:rsidRDefault="00423C27" w:rsidP="00423C27"/>
    <w:p w14:paraId="1B43E5D2" w14:textId="77777777" w:rsidR="00423C27" w:rsidRDefault="00423C27" w:rsidP="00423C27">
      <w:r>
        <w:t>The case involves Jeffery S. Armstrong, who was charged with carrying a concealed weapon, being a felon in possession of a firearm, and possession of a firearm during the commission of a felony after police discovered a handgun under the passenger seat of a vehicle in which he was sitting. Corporal Treva Eaton claimed she approached the vehicle because she smelled marijuana emanating from it. Armstrong moved to suppress the gun as evidence, arguing it was obtained through a search that violated the Fourth Amendment.</w:t>
      </w:r>
    </w:p>
    <w:p w14:paraId="16D47ABD" w14:textId="77777777" w:rsidR="00423C27" w:rsidRDefault="00423C27" w:rsidP="00423C27"/>
    <w:p w14:paraId="70756924" w14:textId="77777777" w:rsidR="00423C27" w:rsidRDefault="00423C27" w:rsidP="00423C27">
      <w:r>
        <w:t>The Wayne Circuit Court ruled that Armstrong was seized when officers surrounded the vehicle and that probable cause was required before ordering him out. The court concluded that the smell of marijuana alone did not establish probable cause to search or justify removing Armstrong from the vehicle and ruled that the plain-view exception did not apply. Consequently, the trial court granted Armstrong’s motion to suppress and dismissed the case.</w:t>
      </w:r>
    </w:p>
    <w:p w14:paraId="634F8B07" w14:textId="77777777" w:rsidR="00423C27" w:rsidRDefault="00423C27" w:rsidP="00423C27"/>
    <w:p w14:paraId="7D957C9B" w14:textId="77777777" w:rsidR="00423C27" w:rsidRDefault="00423C27" w:rsidP="00423C27">
      <w:r>
        <w:t>The prosecution appealed, and the Michigan Court of Appeals affirmed the trial court’s decision. The appellate court held that the rule from People v. Kazmierczak, which allowed the smell of marijuana alone to establish probable cause, was superseded by the Michigan Regulation and Taxation of Marihuana Act (MRTMA). The court concluded that the smell of marijuana is no longer necessarily indicative of unlawful activity and that the trial court did not clearly err in finding that the gun was not discovered in plain view.</w:t>
      </w:r>
    </w:p>
    <w:p w14:paraId="6ADA4A2E" w14:textId="77777777" w:rsidR="00423C27" w:rsidRDefault="00423C27" w:rsidP="00423C27"/>
    <w:p w14:paraId="714BC17A" w14:textId="535CBAED" w:rsidR="00087EEA" w:rsidRDefault="00423C27" w:rsidP="00423C27">
      <w:r>
        <w:lastRenderedPageBreak/>
        <w:t xml:space="preserve">The Michigan Supreme Court reviewed the case and held that the Kazmierczak rule is no longer valid </w:t>
      </w:r>
      <w:proofErr w:type="gramStart"/>
      <w:r>
        <w:t>in light of</w:t>
      </w:r>
      <w:proofErr w:type="gramEnd"/>
      <w:r>
        <w:t xml:space="preserve"> the MRTMA. The court ruled that the smell of marijuana is one factor in the probable-cause determination but is insufficient on its own to support a search. The court affirmed the lower courts' decisions, upholding the suppression of the evidence and the dismissal of the charges against Armstrong.</w:t>
      </w:r>
    </w:p>
    <w:p w14:paraId="571E2DF7" w14:textId="77777777" w:rsidR="00423C27" w:rsidRDefault="00423C27" w:rsidP="00423C27"/>
    <w:p w14:paraId="24208EE7" w14:textId="77927C6F" w:rsidR="00423C27" w:rsidRDefault="00423C27" w:rsidP="00423C27">
      <w:hyperlink r:id="rId6" w:history="1">
        <w:r w:rsidRPr="0068211C">
          <w:rPr>
            <w:rStyle w:val="Hyperlink"/>
          </w:rPr>
          <w:t>https://cases.justia.com/michigan/supreme-court/2025-165233.pdf</w:t>
        </w:r>
      </w:hyperlink>
    </w:p>
    <w:p w14:paraId="6A0D1380" w14:textId="77777777" w:rsidR="00423C27" w:rsidRDefault="00423C27" w:rsidP="00423C27"/>
    <w:p w14:paraId="62DFCC7C" w14:textId="77777777" w:rsidR="00423C27" w:rsidRDefault="00423C27" w:rsidP="00423C27"/>
    <w:p w14:paraId="454D228A" w14:textId="7FA88157" w:rsidR="00FE49AE" w:rsidRPr="00BE3F4A" w:rsidRDefault="00FE49AE" w:rsidP="00FE49AE">
      <w:pPr>
        <w:rPr>
          <w:b/>
          <w:bCs/>
        </w:rPr>
      </w:pPr>
      <w:r w:rsidRPr="00BE3F4A">
        <w:rPr>
          <w:b/>
          <w:bCs/>
        </w:rPr>
        <w:t>W</w:t>
      </w:r>
      <w:r w:rsidR="00BE3F4A" w:rsidRPr="00BE3F4A">
        <w:rPr>
          <w:b/>
          <w:bCs/>
        </w:rPr>
        <w:t>ells v. State of Texas</w:t>
      </w:r>
    </w:p>
    <w:p w14:paraId="2833D4BA" w14:textId="27047DF0" w:rsidR="00FE49AE" w:rsidRDefault="00FE49AE" w:rsidP="00FE49AE">
      <w:r>
        <w:t>Texas Court of Criminal Appeals</w:t>
      </w:r>
    </w:p>
    <w:p w14:paraId="6774BAA3" w14:textId="38DB529E" w:rsidR="00FE49AE" w:rsidRDefault="00BE3F4A" w:rsidP="00FE49AE">
      <w:r w:rsidRPr="00BE3F4A">
        <w:t>April 2, 2025</w:t>
      </w:r>
    </w:p>
    <w:p w14:paraId="2E7D7B5D" w14:textId="77777777" w:rsidR="00FE49AE" w:rsidRDefault="00FE49AE" w:rsidP="00FE49AE"/>
    <w:p w14:paraId="09331FDE" w14:textId="4E010AA8" w:rsidR="00FE49AE" w:rsidRPr="000B1B9C" w:rsidRDefault="00BE3F4A" w:rsidP="00FE49AE">
      <w:pPr>
        <w:rPr>
          <w:i/>
          <w:iCs/>
        </w:rPr>
      </w:pPr>
      <w:r w:rsidRPr="000B1B9C">
        <w:rPr>
          <w:i/>
          <w:iCs/>
        </w:rPr>
        <w:t xml:space="preserve">LEO LAW </w:t>
      </w:r>
      <w:proofErr w:type="gramStart"/>
      <w:r w:rsidRPr="000B1B9C">
        <w:rPr>
          <w:i/>
          <w:iCs/>
        </w:rPr>
        <w:t>Topics :</w:t>
      </w:r>
      <w:proofErr w:type="gramEnd"/>
      <w:r w:rsidRPr="000B1B9C">
        <w:rPr>
          <w:i/>
          <w:iCs/>
        </w:rPr>
        <w:t xml:space="preserve"> </w:t>
      </w:r>
      <w:r w:rsidR="000B1B9C" w:rsidRPr="000B1B9C">
        <w:rPr>
          <w:i/>
          <w:iCs/>
        </w:rPr>
        <w:t>1-3, 1-6 G</w:t>
      </w:r>
      <w:r w:rsidR="000B1B9C" w:rsidRPr="000B1B9C">
        <w:rPr>
          <w:i/>
          <w:iCs/>
        </w:rPr>
        <w:t>eofence warrant was supported by probable cause and met the Fourth Amendment's particularity requirement</w:t>
      </w:r>
      <w:r w:rsidR="000B1B9C" w:rsidRPr="000B1B9C">
        <w:rPr>
          <w:i/>
          <w:iCs/>
        </w:rPr>
        <w:t>.</w:t>
      </w:r>
    </w:p>
    <w:p w14:paraId="095A44F2" w14:textId="77777777" w:rsidR="00FE49AE" w:rsidRDefault="00FE49AE" w:rsidP="00FE49AE"/>
    <w:p w14:paraId="67139B5A" w14:textId="77777777" w:rsidR="00FE49AE" w:rsidRDefault="00FE49AE" w:rsidP="00FE49AE">
      <w:r>
        <w:t>Jimmy Giddings, a drug dealer, was murdered during a home invasion at his residence in Dallas. Security cameras captured four masked men loitering near the scene before the crime. When Giddings arrived home, the men attacked, resulting in Giddings being fatally shot and his girlfriend, Nikita Dickerson, sustaining non-life-threatening injuries. The police used a "geofence" warrant to obtain location data from Google, which identified a device belonging to the appellant, Aaron Rayshan Wells, at the crime scene. This led to the identification of the other three assailants.</w:t>
      </w:r>
    </w:p>
    <w:p w14:paraId="763BC8AC" w14:textId="77777777" w:rsidR="00FE49AE" w:rsidRDefault="00FE49AE" w:rsidP="00FE49AE"/>
    <w:p w14:paraId="6E8E6DC9" w14:textId="77777777" w:rsidR="00FE49AE" w:rsidRDefault="00FE49AE" w:rsidP="00FE49AE">
      <w:r>
        <w:t>The trial court denied Wells' motion to suppress the evidence obtained through the geofence warrant, ruling that the warrant was sufficiently particular. The Fifth Court of Appeals affirmed this decision, concluding that the warrant was narrowly tailored to capture only relevant data and that there was probable cause to believe the suspects carried cell phones with Google location services enabled.</w:t>
      </w:r>
    </w:p>
    <w:p w14:paraId="6916A93C" w14:textId="77777777" w:rsidR="00FE49AE" w:rsidRDefault="00FE49AE" w:rsidP="00FE49AE"/>
    <w:p w14:paraId="5C80BF4A" w14:textId="25674E52" w:rsidR="00423C27" w:rsidRDefault="00FE49AE" w:rsidP="00FE49AE">
      <w:r>
        <w:t xml:space="preserve">The Court of Criminal Appeals of Texas reviewed the case and affirmed the lower court's decision. The court held that the </w:t>
      </w:r>
      <w:bookmarkStart w:id="0" w:name="_Hlk213935071"/>
      <w:r>
        <w:t>geofence warrant was supported by probable cause and met the Fourth Amendment's particularity requirement</w:t>
      </w:r>
      <w:bookmarkEnd w:id="0"/>
      <w:r>
        <w:t>. The warrant was deemed sufficiently specific in terms of time and location, minimizing the risk of capturing data from uninvolved individuals. The court concluded that the warrant's three-step process did not require additional judicial oversight due to its narrow scope.</w:t>
      </w:r>
    </w:p>
    <w:p w14:paraId="012E1E0E" w14:textId="77777777" w:rsidR="00FE49AE" w:rsidRDefault="00FE49AE" w:rsidP="00FE49AE"/>
    <w:p w14:paraId="7D28EFDA" w14:textId="0B0C61FC" w:rsidR="00FE49AE" w:rsidRDefault="002D4512" w:rsidP="00FE49AE">
      <w:hyperlink r:id="rId7" w:history="1">
        <w:r w:rsidRPr="001F4EA4">
          <w:rPr>
            <w:rStyle w:val="Hyperlink"/>
          </w:rPr>
          <w:t>https://cases.justia.com/texas/court-of-criminal-appeals/2025-pd-0669-23-0.pdf</w:t>
        </w:r>
      </w:hyperlink>
    </w:p>
    <w:p w14:paraId="6C8E7368" w14:textId="77777777" w:rsidR="002D4512" w:rsidRDefault="002D4512" w:rsidP="00FE49AE"/>
    <w:p w14:paraId="27E3CD0E" w14:textId="77777777" w:rsidR="002D4512" w:rsidRDefault="002D4512" w:rsidP="00FE49AE"/>
    <w:p w14:paraId="4ED91054" w14:textId="270C65E0" w:rsidR="006C58F7" w:rsidRPr="005F3C44" w:rsidRDefault="006C58F7" w:rsidP="006C58F7">
      <w:pPr>
        <w:rPr>
          <w:b/>
          <w:bCs/>
        </w:rPr>
      </w:pPr>
      <w:r w:rsidRPr="005F3C44">
        <w:rPr>
          <w:b/>
          <w:bCs/>
        </w:rPr>
        <w:t>U</w:t>
      </w:r>
      <w:r w:rsidR="00BE3F4A" w:rsidRPr="005F3C44">
        <w:rPr>
          <w:b/>
          <w:bCs/>
        </w:rPr>
        <w:t xml:space="preserve">nited States v. </w:t>
      </w:r>
      <w:r w:rsidRPr="005F3C44">
        <w:rPr>
          <w:b/>
          <w:bCs/>
        </w:rPr>
        <w:t>Jackson</w:t>
      </w:r>
    </w:p>
    <w:p w14:paraId="54C542C1" w14:textId="43454CFB" w:rsidR="006C58F7" w:rsidRDefault="006C58F7" w:rsidP="006C58F7">
      <w:r>
        <w:t>U.S. Court of Appeals for the Seventh Circuit</w:t>
      </w:r>
    </w:p>
    <w:p w14:paraId="2E9EC234" w14:textId="046AD512" w:rsidR="006C58F7" w:rsidRDefault="005F3C44" w:rsidP="006C58F7">
      <w:r w:rsidRPr="005F3C44">
        <w:t>March 28, 2025</w:t>
      </w:r>
    </w:p>
    <w:p w14:paraId="1B8D016F" w14:textId="77777777" w:rsidR="006C58F7" w:rsidRDefault="006C58F7" w:rsidP="006C58F7">
      <w:r>
        <w:t>Docket: 23-3205</w:t>
      </w:r>
    </w:p>
    <w:p w14:paraId="0B7CD02D" w14:textId="77777777" w:rsidR="006C58F7" w:rsidRDefault="006C58F7" w:rsidP="006C58F7"/>
    <w:p w14:paraId="04087C1F" w14:textId="6FE36D93" w:rsidR="006C58F7" w:rsidRPr="000B1B9C" w:rsidRDefault="005F3C44" w:rsidP="006C58F7">
      <w:pPr>
        <w:rPr>
          <w:i/>
          <w:iCs/>
        </w:rPr>
      </w:pPr>
      <w:r w:rsidRPr="000B1B9C">
        <w:rPr>
          <w:i/>
          <w:iCs/>
        </w:rPr>
        <w:t xml:space="preserve">LEO LAW </w:t>
      </w:r>
      <w:proofErr w:type="gramStart"/>
      <w:r w:rsidRPr="000B1B9C">
        <w:rPr>
          <w:i/>
          <w:iCs/>
        </w:rPr>
        <w:t>Topics :</w:t>
      </w:r>
      <w:proofErr w:type="gramEnd"/>
      <w:r w:rsidRPr="000B1B9C">
        <w:rPr>
          <w:i/>
          <w:iCs/>
        </w:rPr>
        <w:t xml:space="preserve"> </w:t>
      </w:r>
      <w:r w:rsidR="000B1B9C" w:rsidRPr="000B1B9C">
        <w:rPr>
          <w:i/>
          <w:iCs/>
        </w:rPr>
        <w:t xml:space="preserve">4-2, 4-7 </w:t>
      </w:r>
      <w:r w:rsidRPr="000B1B9C">
        <w:rPr>
          <w:i/>
          <w:iCs/>
        </w:rPr>
        <w:t>40-day delay in seeking search warrant for cellphone after arrest was not unreasonable</w:t>
      </w:r>
      <w:r w:rsidR="000B1B9C" w:rsidRPr="000B1B9C">
        <w:rPr>
          <w:i/>
          <w:iCs/>
        </w:rPr>
        <w:t>.</w:t>
      </w:r>
    </w:p>
    <w:p w14:paraId="548E61D0" w14:textId="77777777" w:rsidR="006C58F7" w:rsidRDefault="006C58F7" w:rsidP="006C58F7"/>
    <w:p w14:paraId="754B5D5F" w14:textId="77777777" w:rsidR="006C58F7" w:rsidRDefault="006C58F7" w:rsidP="006C58F7">
      <w:r>
        <w:lastRenderedPageBreak/>
        <w:t>Jaron Jackson pleaded guilty to sex trafficking of a minor and transportation of child pornography. He was sentenced to 240 months in prison. Jackson appealed, arguing that the district court should have suppressed evidence found on his cell phone, claiming the police took too long (40 days) to seek a search warrant after his arrest. Jackson conceded that the warrant was supported by probable cause.</w:t>
      </w:r>
    </w:p>
    <w:p w14:paraId="674A0C88" w14:textId="77777777" w:rsidR="006C58F7" w:rsidRDefault="006C58F7" w:rsidP="006C58F7"/>
    <w:p w14:paraId="1ECFA389" w14:textId="77777777" w:rsidR="006C58F7" w:rsidRDefault="006C58F7" w:rsidP="006C58F7">
      <w:r>
        <w:t>The United States District Court for the Eastern District of Wisconsin denied Jackson's motion to suppress, concluding that the delay did not allow the police to obtain any evidence they would not have received had they sought a warrant immediately. The district judge also found the motion untimely, as it was filed ten months past the deadline for pretrial motions. The court held a hearing to consider whether "good cause" justified the delay and concluded it did not.</w:t>
      </w:r>
    </w:p>
    <w:p w14:paraId="1EC1885A" w14:textId="77777777" w:rsidR="006C58F7" w:rsidRDefault="006C58F7" w:rsidP="006C58F7"/>
    <w:p w14:paraId="1697A49F" w14:textId="0198A669" w:rsidR="002D4512" w:rsidRDefault="006C58F7" w:rsidP="006C58F7">
      <w:r>
        <w:t>The United States Court of Appeals for the Seventh Circuit reviewed the case and affirmed the district court's decision. The court held that the 40-day delay in seeking the warrant did not make the search unreasonable, as the phone had been in official custody since Jackson's arrest, and there was no risk of evidence being altered or destroyed. The court also noted that Jackson did not attempt to regain possession of the phone or express concern about the delay. Therefore, the district court properly denied the motion to suppress the evidence recovered from the phone.</w:t>
      </w:r>
    </w:p>
    <w:p w14:paraId="7C131AA5" w14:textId="77777777" w:rsidR="006C58F7" w:rsidRDefault="006C58F7" w:rsidP="006C58F7"/>
    <w:p w14:paraId="7BB9E303" w14:textId="1B5E8130" w:rsidR="006C58F7" w:rsidRDefault="006C58F7" w:rsidP="006C58F7">
      <w:hyperlink r:id="rId8" w:history="1">
        <w:r w:rsidRPr="001F4EA4">
          <w:rPr>
            <w:rStyle w:val="Hyperlink"/>
          </w:rPr>
          <w:t>https://cases.justia.com/federal/appellate-courts/ca7/23-3205/23-3205-2025-03-28.pdf</w:t>
        </w:r>
      </w:hyperlink>
    </w:p>
    <w:p w14:paraId="5217F7A7" w14:textId="77777777" w:rsidR="006C58F7" w:rsidRDefault="006C58F7" w:rsidP="006C58F7"/>
    <w:p w14:paraId="2E829AF4" w14:textId="77777777" w:rsidR="006C58F7" w:rsidRDefault="006C58F7" w:rsidP="006C58F7"/>
    <w:p w14:paraId="27F1CD85" w14:textId="77777777" w:rsidR="006C58F7" w:rsidRDefault="006C58F7" w:rsidP="006C58F7"/>
    <w:p w14:paraId="11B454E8" w14:textId="77777777" w:rsidR="00FE49AE" w:rsidRDefault="00FE49AE" w:rsidP="00FE49AE"/>
    <w:p w14:paraId="3D52A023" w14:textId="77777777" w:rsidR="00FE49AE" w:rsidRDefault="00FE49AE" w:rsidP="00FE49AE"/>
    <w:p w14:paraId="31935ADC" w14:textId="77777777" w:rsidR="00423C27" w:rsidRDefault="00423C27" w:rsidP="00423C27"/>
    <w:p w14:paraId="23352A4F" w14:textId="77777777" w:rsidR="00423C27" w:rsidRDefault="00423C27" w:rsidP="00423C27"/>
    <w:p w14:paraId="798D69CA" w14:textId="77777777" w:rsidR="00087EEA" w:rsidRDefault="00087EEA" w:rsidP="00087EEA"/>
    <w:p w14:paraId="1055EB65" w14:textId="77777777" w:rsidR="00087EEA" w:rsidRDefault="00087EEA" w:rsidP="00087EEA"/>
    <w:p w14:paraId="307D7B0A" w14:textId="77777777" w:rsidR="00087EEA" w:rsidRDefault="00087EEA" w:rsidP="00087EEA"/>
    <w:sectPr w:rsidR="00087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20"/>
    <w:rsid w:val="00087EEA"/>
    <w:rsid w:val="000B1B9C"/>
    <w:rsid w:val="002550DE"/>
    <w:rsid w:val="002D4512"/>
    <w:rsid w:val="00313E2A"/>
    <w:rsid w:val="003D5635"/>
    <w:rsid w:val="00423C27"/>
    <w:rsid w:val="005F3C44"/>
    <w:rsid w:val="006C58F7"/>
    <w:rsid w:val="007A731D"/>
    <w:rsid w:val="008875E3"/>
    <w:rsid w:val="00BE3F4A"/>
    <w:rsid w:val="00C04E35"/>
    <w:rsid w:val="00CC22D4"/>
    <w:rsid w:val="00D16EB4"/>
    <w:rsid w:val="00D85420"/>
    <w:rsid w:val="00DF4922"/>
    <w:rsid w:val="00E67B4E"/>
    <w:rsid w:val="00E81240"/>
    <w:rsid w:val="00FE4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025F2"/>
  <w15:chartTrackingRefBased/>
  <w15:docId w15:val="{D7931B9B-3D4E-4D2F-B611-76FEC67EE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20"/>
    <w:rPr>
      <w:rFonts w:eastAsiaTheme="majorEastAsia" w:cstheme="majorBidi"/>
      <w:color w:val="272727" w:themeColor="text1" w:themeTint="D8"/>
    </w:rPr>
  </w:style>
  <w:style w:type="paragraph" w:styleId="Title">
    <w:name w:val="Title"/>
    <w:basedOn w:val="Normal"/>
    <w:next w:val="Normal"/>
    <w:link w:val="TitleChar"/>
    <w:uiPriority w:val="10"/>
    <w:qFormat/>
    <w:rsid w:val="00D85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420"/>
    <w:rPr>
      <w:i/>
      <w:iCs/>
      <w:color w:val="404040" w:themeColor="text1" w:themeTint="BF"/>
    </w:rPr>
  </w:style>
  <w:style w:type="paragraph" w:styleId="ListParagraph">
    <w:name w:val="List Paragraph"/>
    <w:basedOn w:val="Normal"/>
    <w:uiPriority w:val="34"/>
    <w:qFormat/>
    <w:rsid w:val="00D85420"/>
    <w:pPr>
      <w:ind w:left="720"/>
      <w:contextualSpacing/>
    </w:pPr>
  </w:style>
  <w:style w:type="character" w:styleId="IntenseEmphasis">
    <w:name w:val="Intense Emphasis"/>
    <w:basedOn w:val="DefaultParagraphFont"/>
    <w:uiPriority w:val="21"/>
    <w:qFormat/>
    <w:rsid w:val="00D85420"/>
    <w:rPr>
      <w:i/>
      <w:iCs/>
      <w:color w:val="0F4761" w:themeColor="accent1" w:themeShade="BF"/>
    </w:rPr>
  </w:style>
  <w:style w:type="paragraph" w:styleId="IntenseQuote">
    <w:name w:val="Intense Quote"/>
    <w:basedOn w:val="Normal"/>
    <w:next w:val="Normal"/>
    <w:link w:val="IntenseQuoteChar"/>
    <w:uiPriority w:val="30"/>
    <w:qFormat/>
    <w:rsid w:val="00D85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420"/>
    <w:rPr>
      <w:i/>
      <w:iCs/>
      <w:color w:val="0F4761" w:themeColor="accent1" w:themeShade="BF"/>
    </w:rPr>
  </w:style>
  <w:style w:type="character" w:styleId="IntenseReference">
    <w:name w:val="Intense Reference"/>
    <w:basedOn w:val="DefaultParagraphFont"/>
    <w:uiPriority w:val="32"/>
    <w:qFormat/>
    <w:rsid w:val="00D85420"/>
    <w:rPr>
      <w:b/>
      <w:bCs/>
      <w:smallCaps/>
      <w:color w:val="0F4761" w:themeColor="accent1" w:themeShade="BF"/>
      <w:spacing w:val="5"/>
    </w:rPr>
  </w:style>
  <w:style w:type="character" w:styleId="Hyperlink">
    <w:name w:val="Hyperlink"/>
    <w:basedOn w:val="DefaultParagraphFont"/>
    <w:uiPriority w:val="99"/>
    <w:unhideWhenUsed/>
    <w:rsid w:val="00D16EB4"/>
    <w:rPr>
      <w:color w:val="467886" w:themeColor="hyperlink"/>
      <w:u w:val="single"/>
    </w:rPr>
  </w:style>
  <w:style w:type="character" w:styleId="UnresolvedMention">
    <w:name w:val="Unresolved Mention"/>
    <w:basedOn w:val="DefaultParagraphFont"/>
    <w:uiPriority w:val="99"/>
    <w:semiHidden/>
    <w:unhideWhenUsed/>
    <w:rsid w:val="00D16EB4"/>
    <w:rPr>
      <w:color w:val="605E5C"/>
      <w:shd w:val="clear" w:color="auto" w:fill="E1DFDD"/>
    </w:rPr>
  </w:style>
  <w:style w:type="character" w:styleId="FollowedHyperlink">
    <w:name w:val="FollowedHyperlink"/>
    <w:basedOn w:val="DefaultParagraphFont"/>
    <w:uiPriority w:val="99"/>
    <w:semiHidden/>
    <w:unhideWhenUsed/>
    <w:rsid w:val="00087E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7/23-3205/23-3205-2025-03-28.pdf" TargetMode="External"/><Relationship Id="rId3" Type="http://schemas.openxmlformats.org/officeDocument/2006/relationships/webSettings" Target="webSettings.xml"/><Relationship Id="rId7" Type="http://schemas.openxmlformats.org/officeDocument/2006/relationships/hyperlink" Target="https://cases.justia.com/texas/court-of-criminal-appeals/2025-pd-0669-23-0.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michigan/supreme-court/2025-165233.pdf" TargetMode="External"/><Relationship Id="rId5" Type="http://schemas.openxmlformats.org/officeDocument/2006/relationships/hyperlink" Target="https://cases.justia.com/arizona/supreme-court/2025-cr-23-0215-pr.pdf" TargetMode="External"/><Relationship Id="rId10" Type="http://schemas.openxmlformats.org/officeDocument/2006/relationships/theme" Target="theme/theme1.xml"/><Relationship Id="rId4" Type="http://schemas.openxmlformats.org/officeDocument/2006/relationships/hyperlink" Target="https://cases.justia.com/federal/appellate-courts/ca8/24-1427/24-1427-2025-04-03.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1550</Words>
  <Characters>8773</Characters>
  <Application>Microsoft Office Word</Application>
  <DocSecurity>0</DocSecurity>
  <Lines>179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2025-04-06T11:13:00Z</dcterms:created>
  <dcterms:modified xsi:type="dcterms:W3CDTF">2025-11-13T19:05:00Z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b25a1158-8f6c-4327-85aa-80f0076a70dc</vt:lpwstr>
  </property>
</Properties>
</file>