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F887" w14:textId="708A569D" w:rsidR="00DF4922" w:rsidRDefault="00AC783F">
      <w:r>
        <w:t>BF17 25APR2025</w:t>
      </w:r>
    </w:p>
    <w:p w14:paraId="07FCCF77" w14:textId="77777777" w:rsidR="00AC783F" w:rsidRDefault="00AC783F"/>
    <w:p w14:paraId="26A82F32" w14:textId="57CFA1A1" w:rsidR="0023129C" w:rsidRDefault="0023129C">
      <w:r>
        <w:t>FEDERAL SEARCH AND SEIZURE CASES</w:t>
      </w:r>
    </w:p>
    <w:p w14:paraId="78C5897F" w14:textId="77777777" w:rsidR="0023129C" w:rsidRDefault="0023129C"/>
    <w:p w14:paraId="50AECCDF" w14:textId="15396667" w:rsidR="0023129C" w:rsidRPr="0023129C" w:rsidRDefault="0023129C">
      <w:pPr>
        <w:rPr>
          <w:i/>
          <w:iCs/>
        </w:rPr>
      </w:pPr>
      <w:r w:rsidRPr="0023129C">
        <w:rPr>
          <w:i/>
          <w:iCs/>
        </w:rPr>
        <w:t xml:space="preserve">FIFTH CIRCUIT </w:t>
      </w:r>
    </w:p>
    <w:p w14:paraId="45BE73C5" w14:textId="77777777" w:rsidR="0023129C" w:rsidRDefault="0023129C"/>
    <w:p w14:paraId="050DB0F1" w14:textId="77777777" w:rsidR="00157AF1" w:rsidRPr="00157AF1" w:rsidRDefault="00157AF1" w:rsidP="00157AF1">
      <w:pPr>
        <w:rPr>
          <w:b/>
          <w:bCs/>
        </w:rPr>
      </w:pPr>
      <w:r w:rsidRPr="00157AF1">
        <w:rPr>
          <w:b/>
          <w:bCs/>
        </w:rPr>
        <w:t>Nevarez v. Dorris</w:t>
      </w:r>
    </w:p>
    <w:p w14:paraId="1DC3F81D" w14:textId="59BA3960" w:rsidR="00157AF1" w:rsidRDefault="00157AF1" w:rsidP="00157AF1">
      <w:r>
        <w:t>U.S. Court of Appeals for the Fifth Circuit</w:t>
      </w:r>
    </w:p>
    <w:p w14:paraId="021233E6" w14:textId="19548C64" w:rsidR="00157AF1" w:rsidRDefault="00157AF1" w:rsidP="00157AF1">
      <w:r w:rsidRPr="00157AF1">
        <w:t>April 18, 2025</w:t>
      </w:r>
    </w:p>
    <w:p w14:paraId="0F5DBD59" w14:textId="77777777" w:rsidR="00157AF1" w:rsidRDefault="00157AF1" w:rsidP="00157AF1">
      <w:r>
        <w:t>Docket: 23-30103</w:t>
      </w:r>
    </w:p>
    <w:p w14:paraId="1A35BB0E" w14:textId="77777777" w:rsidR="00157AF1" w:rsidRDefault="00157AF1" w:rsidP="00157AF1"/>
    <w:p w14:paraId="36E788A2" w14:textId="6B9921E1" w:rsidR="00157AF1" w:rsidRPr="0023129C" w:rsidRDefault="00157AF1" w:rsidP="00157AF1">
      <w:pPr>
        <w:rPr>
          <w:i/>
          <w:iCs/>
        </w:rPr>
      </w:pPr>
      <w:r w:rsidRPr="0023129C">
        <w:rPr>
          <w:i/>
          <w:iCs/>
        </w:rPr>
        <w:t xml:space="preserve">LEO LAW </w:t>
      </w:r>
      <w:proofErr w:type="gramStart"/>
      <w:r w:rsidRPr="0023129C">
        <w:rPr>
          <w:i/>
          <w:iCs/>
        </w:rPr>
        <w:t>Topic :</w:t>
      </w:r>
      <w:proofErr w:type="gramEnd"/>
      <w:r w:rsidRPr="0023129C">
        <w:rPr>
          <w:i/>
          <w:iCs/>
        </w:rPr>
        <w:t xml:space="preserve"> Facial warrant deficiency for deceased suspect not clearly established, such as to preclude qualified immunity.</w:t>
      </w:r>
    </w:p>
    <w:p w14:paraId="6B717BBA" w14:textId="77777777" w:rsidR="00157AF1" w:rsidRDefault="00157AF1" w:rsidP="00157AF1"/>
    <w:p w14:paraId="7BA47658" w14:textId="77777777" w:rsidR="00157AF1" w:rsidRDefault="00157AF1" w:rsidP="00157AF1">
      <w:r>
        <w:t>Julie Nevarez, on behalf of herself and her minor children, filed a lawsuit under 42 U.S.C. § 1983 against Louisiana State Police Troopers Justin Leonard and Anthony Dorris. The case stems from the fatal shooting of her husband, Miguel Nevarez, by officers from the Houma Police Department and the Terrebonne Parish Sheriff’s Office. Following the shooting, the Troopers obtained search warrants for the Nevarez home, the car Mr. Nevarez was in, and Mrs. Nevarez’s cell phone, claiming they were investigating an aggravated assault against a police officer by Mr. Nevarez. Mrs. Nevarez contended that this justification was pretextual and that the affidavits lacked probable cause.</w:t>
      </w:r>
    </w:p>
    <w:p w14:paraId="6F5CFDD6" w14:textId="77777777" w:rsidR="00157AF1" w:rsidRDefault="00157AF1" w:rsidP="00157AF1"/>
    <w:p w14:paraId="5D82DBEC" w14:textId="77777777" w:rsidR="00157AF1" w:rsidRDefault="00157AF1" w:rsidP="00157AF1">
      <w:r>
        <w:t xml:space="preserve">The United States District Court for the Eastern District of Louisiana denied the Troopers' third motion to dismiss, ruling that they were not entitled to qualified immunity. The court found that the plaintiffs plausibly alleged a claim under Malley v. Briggs, concluding that a reasonable officer would understand there was no probable cause to support the search warrants, given that Mr. Nevarez was </w:t>
      </w:r>
      <w:proofErr w:type="gramStart"/>
      <w:r>
        <w:t>deceased</w:t>
      </w:r>
      <w:proofErr w:type="gramEnd"/>
      <w:r>
        <w:t xml:space="preserve"> and the affidavits did not suggest others were involved or that the crime was ongoing.</w:t>
      </w:r>
    </w:p>
    <w:p w14:paraId="003BDD35" w14:textId="77777777" w:rsidR="00157AF1" w:rsidRDefault="00157AF1" w:rsidP="00157AF1"/>
    <w:p w14:paraId="698A2915" w14:textId="13A1E005" w:rsidR="00157AF1" w:rsidRDefault="00157AF1" w:rsidP="00157AF1">
      <w:r>
        <w:t>The United States Court of Appeals for the Fifth Circuit reviewed the case and reversed the district court's decision. The appellate court held that there was no clearly established law indicating that probable cause could not support a warrant to search for evidence of a crime that could not be prosecuted because the suspect had died. Consequently, the Troopers were entitled to qualified immunity. The case was remanded for further proceedings consistent with this opinion.</w:t>
      </w:r>
    </w:p>
    <w:p w14:paraId="451FFA69" w14:textId="77777777" w:rsidR="00157AF1" w:rsidRDefault="00157AF1"/>
    <w:p w14:paraId="1C14EC90" w14:textId="57CCED9B" w:rsidR="00157AF1" w:rsidRDefault="00157AF1">
      <w:hyperlink r:id="rId4" w:history="1">
        <w:r w:rsidRPr="009A5EC7">
          <w:rPr>
            <w:rStyle w:val="Hyperlink"/>
          </w:rPr>
          <w:t>https://cases.justia.com/federal/appellate-courts/ca5/23-30103/23-30103-2025-04-18.pdf</w:t>
        </w:r>
      </w:hyperlink>
      <w:r>
        <w:t xml:space="preserve"> </w:t>
      </w:r>
    </w:p>
    <w:p w14:paraId="23A38216" w14:textId="77777777" w:rsidR="00157AF1" w:rsidRDefault="00157AF1"/>
    <w:p w14:paraId="02CFA37D" w14:textId="05AA0A07" w:rsidR="00157AF1" w:rsidRPr="0023129C" w:rsidRDefault="0023129C">
      <w:pPr>
        <w:rPr>
          <w:i/>
          <w:iCs/>
        </w:rPr>
      </w:pPr>
      <w:r w:rsidRPr="0023129C">
        <w:rPr>
          <w:i/>
          <w:iCs/>
        </w:rPr>
        <w:t>NINTH CIRCUIT</w:t>
      </w:r>
    </w:p>
    <w:p w14:paraId="6A847617" w14:textId="77777777" w:rsidR="0023129C" w:rsidRDefault="0023129C"/>
    <w:p w14:paraId="2619A741" w14:textId="1A6DE773" w:rsidR="00AC783F" w:rsidRPr="00AC783F" w:rsidRDefault="00AC783F" w:rsidP="00AC783F">
      <w:pPr>
        <w:rPr>
          <w:b/>
          <w:bCs/>
        </w:rPr>
      </w:pPr>
      <w:r w:rsidRPr="00AC783F">
        <w:rPr>
          <w:b/>
          <w:bCs/>
        </w:rPr>
        <w:t>Newman v. Underhill</w:t>
      </w:r>
    </w:p>
    <w:p w14:paraId="3E774178" w14:textId="2C265A05" w:rsidR="00AC783F" w:rsidRDefault="00AC783F" w:rsidP="00AC783F">
      <w:r>
        <w:t>U.S. Court of Appeals for the Ninth Circuit</w:t>
      </w:r>
    </w:p>
    <w:p w14:paraId="00177E93" w14:textId="2B0D66DF" w:rsidR="00AC783F" w:rsidRDefault="00AC783F" w:rsidP="00AC783F">
      <w:r w:rsidRPr="00AC783F">
        <w:t>April 23, 2025</w:t>
      </w:r>
    </w:p>
    <w:p w14:paraId="205F890C" w14:textId="77777777" w:rsidR="00AC783F" w:rsidRDefault="00AC783F" w:rsidP="00AC783F">
      <w:r>
        <w:t>Docket: 24-1493</w:t>
      </w:r>
    </w:p>
    <w:p w14:paraId="0C195B52" w14:textId="77777777" w:rsidR="00AC783F" w:rsidRDefault="00AC783F" w:rsidP="00AC783F"/>
    <w:p w14:paraId="4CF15C36" w14:textId="665EA63A" w:rsidR="00AC783F" w:rsidRPr="0023129C" w:rsidRDefault="00AC783F" w:rsidP="00AC783F">
      <w:pPr>
        <w:rPr>
          <w:i/>
          <w:iCs/>
        </w:rPr>
      </w:pPr>
      <w:r w:rsidRPr="0023129C">
        <w:rPr>
          <w:i/>
          <w:iCs/>
        </w:rPr>
        <w:t xml:space="preserve">LEO LAW </w:t>
      </w:r>
      <w:proofErr w:type="gramStart"/>
      <w:r w:rsidRPr="0023129C">
        <w:rPr>
          <w:i/>
          <w:iCs/>
        </w:rPr>
        <w:t>Topics :</w:t>
      </w:r>
      <w:proofErr w:type="gramEnd"/>
      <w:r w:rsidRPr="0023129C">
        <w:rPr>
          <w:i/>
          <w:iCs/>
        </w:rPr>
        <w:t xml:space="preserve"> Hot Pursuit exception applied where </w:t>
      </w:r>
      <w:r w:rsidRPr="0023129C">
        <w:rPr>
          <w:i/>
          <w:iCs/>
        </w:rPr>
        <w:t>pursuit was immediate and continuous, despite a nine-minute delay between losing sight</w:t>
      </w:r>
      <w:r w:rsidRPr="0023129C">
        <w:rPr>
          <w:i/>
          <w:iCs/>
        </w:rPr>
        <w:t xml:space="preserve"> of </w:t>
      </w:r>
      <w:r w:rsidR="0023129C">
        <w:rPr>
          <w:i/>
          <w:iCs/>
        </w:rPr>
        <w:t xml:space="preserve">the suspect and entering the </w:t>
      </w:r>
      <w:r w:rsidRPr="0023129C">
        <w:rPr>
          <w:i/>
          <w:iCs/>
        </w:rPr>
        <w:t>home.</w:t>
      </w:r>
    </w:p>
    <w:p w14:paraId="626B6074" w14:textId="77777777" w:rsidR="00AC783F" w:rsidRDefault="00AC783F" w:rsidP="00AC783F"/>
    <w:p w14:paraId="4C601E01" w14:textId="77777777" w:rsidR="00AC783F" w:rsidRDefault="00AC783F" w:rsidP="00AC783F">
      <w:r>
        <w:lastRenderedPageBreak/>
        <w:t>A sheriff's deputy in San Bernardino County, California, pursued a suspect who fled from a traffic stop. The suspect, Richard Delacruz, ran towards the backyard of Michael Newman's home. The deputy, Todd Underhill, lost sight of Delacruz but believed he might have entered the house. Underhill and other deputies entered the home without a warrant, found Newman, and eventually located and arrested Delacruz inside the house.</w:t>
      </w:r>
    </w:p>
    <w:p w14:paraId="1E6BDA5E" w14:textId="77777777" w:rsidR="00AC783F" w:rsidRDefault="00AC783F" w:rsidP="00AC783F"/>
    <w:p w14:paraId="2AA4FEFF" w14:textId="77777777" w:rsidR="00AC783F" w:rsidRDefault="00AC783F" w:rsidP="00AC783F">
      <w:r>
        <w:t>The United States District Court for the Central District of California granted summary judgment in favor of the defendants, ruling that the deputies did not violate the Fourth Amendment because the hot-pursuit exception to the warrant requirement applied. The court found that the deputies had probable cause to believe Delacruz was inside the house and that the pursuit was immediate and continuous.</w:t>
      </w:r>
    </w:p>
    <w:p w14:paraId="16D754FB" w14:textId="77777777" w:rsidR="00AC783F" w:rsidRDefault="00AC783F" w:rsidP="00AC783F"/>
    <w:p w14:paraId="589B821B" w14:textId="5DE3DA94" w:rsidR="00AC783F" w:rsidRDefault="00AC783F" w:rsidP="00AC783F">
      <w:r>
        <w:t>The United States Court of Appeals for the Ninth Circuit affirmed the district court's decision. The appellate court held that the deputies had probable cause to enter the home, as a reasonable person would believe there was a fair probability that Delacruz was inside. The court also determined that the pursuit was immediate and continuous, despite a nine-minute delay between losing sight of Delacruz and entering the home. The court concluded that the hot-pursuit exception justified the warrantless entry, as the deputies were in immediate and continuous pursuit of a fleeing suspect who had committed a felony. The Ninth Circuit affirmed the summary judgment in favor of the defendants.</w:t>
      </w:r>
    </w:p>
    <w:p w14:paraId="4088F7EE" w14:textId="77777777" w:rsidR="00AC783F" w:rsidRDefault="00AC783F" w:rsidP="00AC783F"/>
    <w:p w14:paraId="3F2761D2" w14:textId="0C393AF4" w:rsidR="00AC783F" w:rsidRDefault="00AC783F" w:rsidP="00AC783F">
      <w:hyperlink r:id="rId5" w:history="1">
        <w:r w:rsidRPr="009A5EC7">
          <w:rPr>
            <w:rStyle w:val="Hyperlink"/>
          </w:rPr>
          <w:t>https://cases.justia.com/federal/appellate-courts/ca9/24-1493/24-1493-2025-04-23.pdf</w:t>
        </w:r>
      </w:hyperlink>
    </w:p>
    <w:p w14:paraId="1308A480" w14:textId="77777777" w:rsidR="00AC783F" w:rsidRDefault="00AC783F" w:rsidP="00AC783F"/>
    <w:p w14:paraId="56FB5D12" w14:textId="65CA5B46" w:rsidR="0023129C" w:rsidRPr="0023129C" w:rsidRDefault="0023129C" w:rsidP="00AC783F">
      <w:pPr>
        <w:rPr>
          <w:i/>
          <w:iCs/>
        </w:rPr>
      </w:pPr>
      <w:r w:rsidRPr="0023129C">
        <w:rPr>
          <w:i/>
          <w:iCs/>
        </w:rPr>
        <w:t>TENTH CIRCUIT</w:t>
      </w:r>
    </w:p>
    <w:p w14:paraId="2180603D" w14:textId="77777777" w:rsidR="0023129C" w:rsidRDefault="0023129C" w:rsidP="00AC783F"/>
    <w:p w14:paraId="2A17CD0F" w14:textId="77777777" w:rsidR="00ED0D05" w:rsidRPr="00ED0D05" w:rsidRDefault="00ED0D05" w:rsidP="00ED0D05">
      <w:pPr>
        <w:rPr>
          <w:b/>
          <w:bCs/>
        </w:rPr>
      </w:pPr>
      <w:r w:rsidRPr="00ED0D05">
        <w:rPr>
          <w:b/>
          <w:bCs/>
        </w:rPr>
        <w:t>Love v. Grashorn</w:t>
      </w:r>
    </w:p>
    <w:p w14:paraId="3CC94FC8" w14:textId="7628FBDF" w:rsidR="00ED0D05" w:rsidRDefault="00ED0D05" w:rsidP="00ED0D05">
      <w:r>
        <w:t>U.S. Court of Appeals for the Tenth Circuit</w:t>
      </w:r>
    </w:p>
    <w:p w14:paraId="12068FB0" w14:textId="4E2DFBAB" w:rsidR="00ED0D05" w:rsidRDefault="00ED0D05" w:rsidP="00ED0D05">
      <w:r w:rsidRPr="00ED0D05">
        <w:t>April 22, 2025</w:t>
      </w:r>
    </w:p>
    <w:p w14:paraId="20C31939" w14:textId="77777777" w:rsidR="00ED0D05" w:rsidRDefault="00ED0D05" w:rsidP="00ED0D05">
      <w:r>
        <w:t>Docket: 23-1397</w:t>
      </w:r>
    </w:p>
    <w:p w14:paraId="77AB61B7" w14:textId="77777777" w:rsidR="00ED0D05" w:rsidRDefault="00ED0D05" w:rsidP="00ED0D05"/>
    <w:p w14:paraId="4E7F2F5E" w14:textId="5145BED4" w:rsidR="00ED0D05" w:rsidRPr="0023129C" w:rsidRDefault="00ED0D05" w:rsidP="00ED0D05">
      <w:pPr>
        <w:rPr>
          <w:i/>
          <w:iCs/>
        </w:rPr>
      </w:pPr>
      <w:r w:rsidRPr="0023129C">
        <w:rPr>
          <w:i/>
          <w:iCs/>
        </w:rPr>
        <w:t>LEO LAW Topics: C</w:t>
      </w:r>
      <w:r w:rsidRPr="0023129C">
        <w:rPr>
          <w:i/>
          <w:iCs/>
        </w:rPr>
        <w:t>ommon sense and case law clearly establish that shooting a pet dog without an immediate threat constitutes a Fourth Amendment violation.</w:t>
      </w:r>
    </w:p>
    <w:p w14:paraId="0048F5CE" w14:textId="77777777" w:rsidR="00ED0D05" w:rsidRDefault="00ED0D05" w:rsidP="00ED0D05"/>
    <w:p w14:paraId="0A0A8C59" w14:textId="77777777" w:rsidR="00ED0D05" w:rsidRDefault="00ED0D05" w:rsidP="00ED0D05">
      <w:r>
        <w:t>A police officer, Mathew Grashorn, shot a dog named Herkimer after responding to a business owner's call about a truck in a parking lot after hours. Upon arrival, Officer Grashorn saw the truck and two dogs, Bubba and Herkimer. Bubba initially ran towards the officer but returned to his owner when called. Herkimer then emerged and ran towards the officer, who shot the dog when it was a few feet away. Herkimer was later euthanized due to the injuries.</w:t>
      </w:r>
    </w:p>
    <w:p w14:paraId="51B6E1C3" w14:textId="77777777" w:rsidR="00ED0D05" w:rsidRDefault="00ED0D05" w:rsidP="00ED0D05"/>
    <w:p w14:paraId="6FFFDD3B" w14:textId="77777777" w:rsidR="00ED0D05" w:rsidRDefault="00ED0D05" w:rsidP="00ED0D05">
      <w:r>
        <w:t>The plaintiffs, Wendy Love and Jay Hamm, sued Officer Grashorn for violating the Fourth Amendment. The United States District Court for the District of Colorado denied the officer's motion for summary judgment based on qualified immunity, concluding that a jury could reasonably find that Herkimer did not pose an immediate danger, and thus the shooting could be a clearly established violation of the Fourth Amendment.</w:t>
      </w:r>
    </w:p>
    <w:p w14:paraId="45D70476" w14:textId="77777777" w:rsidR="00ED0D05" w:rsidRDefault="00ED0D05" w:rsidP="00ED0D05"/>
    <w:p w14:paraId="3CDEF5D2" w14:textId="64D30F96" w:rsidR="00ED0D05" w:rsidRDefault="00ED0D05" w:rsidP="00ED0D05">
      <w:r>
        <w:t xml:space="preserve">The United States Court of Appeals for the Tenth Circuit reviewed the case de novo. The court upheld the district court's denial of summary judgment, agreeing that a jury could find no immediate danger and that the officer had time to consider non-lethal options. The court </w:t>
      </w:r>
      <w:r>
        <w:lastRenderedPageBreak/>
        <w:t>emphasized that common sense and case law clearly establish that shooting a pet dog without an immediate threat constitutes a Fourth Amendment violation. The court also rejected the officer's argument that a reasonable mistake about the danger would grant him qualified immunity, as the district court's factual conclusions suggested the mistake was unreasonable. The Tenth Circuit affirmed the district court's decision, denying qualified immunity to Officer Grashorn.</w:t>
      </w:r>
    </w:p>
    <w:p w14:paraId="3D5B60C6" w14:textId="77777777" w:rsidR="00ED0D05" w:rsidRDefault="00ED0D05" w:rsidP="00AC783F"/>
    <w:p w14:paraId="0E071093" w14:textId="4647A7F2" w:rsidR="00ED0D05" w:rsidRDefault="00ED0D05" w:rsidP="00AC783F">
      <w:hyperlink r:id="rId6" w:history="1">
        <w:r w:rsidRPr="009A5EC7">
          <w:rPr>
            <w:rStyle w:val="Hyperlink"/>
          </w:rPr>
          <w:t>https://cases.justia.com/federal/appellate-courts/ca10/23-1397/23-1397-2025-04-22.pdf</w:t>
        </w:r>
      </w:hyperlink>
      <w:r>
        <w:t xml:space="preserve"> </w:t>
      </w:r>
    </w:p>
    <w:p w14:paraId="2B93F811" w14:textId="77777777" w:rsidR="00ED0D05" w:rsidRDefault="00ED0D05" w:rsidP="00AC783F"/>
    <w:p w14:paraId="6B200AF2" w14:textId="759C737A" w:rsidR="00AC783F" w:rsidRPr="0023129C" w:rsidRDefault="000E03F1" w:rsidP="00AC783F">
      <w:pPr>
        <w:rPr>
          <w:sz w:val="24"/>
          <w:szCs w:val="24"/>
        </w:rPr>
      </w:pPr>
      <w:r w:rsidRPr="0023129C">
        <w:rPr>
          <w:sz w:val="24"/>
          <w:szCs w:val="24"/>
        </w:rPr>
        <w:t>STATE CASES</w:t>
      </w:r>
    </w:p>
    <w:p w14:paraId="057C1FF1" w14:textId="77777777" w:rsidR="00AC783F" w:rsidRDefault="00AC783F" w:rsidP="00AC783F"/>
    <w:p w14:paraId="7B3D7580" w14:textId="77777777" w:rsidR="000E03F1" w:rsidRPr="000E03F1" w:rsidRDefault="000E03F1" w:rsidP="000E03F1">
      <w:pPr>
        <w:rPr>
          <w:b/>
          <w:bCs/>
        </w:rPr>
      </w:pPr>
      <w:r w:rsidRPr="000E03F1">
        <w:rPr>
          <w:b/>
          <w:bCs/>
        </w:rPr>
        <w:t>State v. Lee</w:t>
      </w:r>
    </w:p>
    <w:p w14:paraId="276E7F3F" w14:textId="052BDD88" w:rsidR="000E03F1" w:rsidRDefault="000E03F1" w:rsidP="000E03F1">
      <w:r>
        <w:t>Oregon Supreme Court</w:t>
      </w:r>
    </w:p>
    <w:p w14:paraId="73860E2A" w14:textId="6DE0F001" w:rsidR="000E03F1" w:rsidRDefault="000E03F1" w:rsidP="000E03F1">
      <w:r>
        <w:t>April 24, 2025</w:t>
      </w:r>
    </w:p>
    <w:p w14:paraId="78DA638E" w14:textId="77777777" w:rsidR="000E03F1" w:rsidRDefault="000E03F1" w:rsidP="000E03F1"/>
    <w:p w14:paraId="7579626A" w14:textId="094D3AFE" w:rsidR="000E03F1" w:rsidRPr="0023129C" w:rsidRDefault="000E03F1" w:rsidP="000E03F1">
      <w:pPr>
        <w:rPr>
          <w:i/>
          <w:iCs/>
        </w:rPr>
      </w:pPr>
      <w:r w:rsidRPr="0023129C">
        <w:rPr>
          <w:i/>
          <w:iCs/>
        </w:rPr>
        <w:t xml:space="preserve">LEO LAW </w:t>
      </w:r>
      <w:proofErr w:type="gramStart"/>
      <w:r w:rsidRPr="0023129C">
        <w:rPr>
          <w:i/>
          <w:iCs/>
        </w:rPr>
        <w:t>Topics :</w:t>
      </w:r>
      <w:proofErr w:type="gramEnd"/>
      <w:r w:rsidRPr="0023129C">
        <w:rPr>
          <w:i/>
          <w:iCs/>
        </w:rPr>
        <w:t xml:space="preserve"> Anticipatory warrants are not valid under Oregon state law.</w:t>
      </w:r>
    </w:p>
    <w:p w14:paraId="4CC18254" w14:textId="77777777" w:rsidR="000E03F1" w:rsidRDefault="000E03F1" w:rsidP="000E03F1"/>
    <w:p w14:paraId="36B1BA3E" w14:textId="77777777" w:rsidR="000E03F1" w:rsidRDefault="000E03F1" w:rsidP="000E03F1">
      <w:r>
        <w:t>An informant informed law enforcement that a person named "Tom Collins" was dealing heroin from a residence in Albany, Oregon. Detectives planned to use the informant in a controlled buy at the residence. Instead of waiting for the results of the controlled buy to apply for a warrant, the detectives applied for and obtained a search warrant that anticipated the controlled buy. The state argued that the warrant was an "anticipatory warrant" as approved by the U.S. Supreme Court in United States v. Grubbs. The defendant argued that such warrants are incompatible with Article I, section 9, of the Oregon Constitution.</w:t>
      </w:r>
    </w:p>
    <w:p w14:paraId="5B429B50" w14:textId="77777777" w:rsidR="000E03F1" w:rsidRDefault="000E03F1" w:rsidP="000E03F1"/>
    <w:p w14:paraId="254D2E25" w14:textId="77777777" w:rsidR="000E03F1" w:rsidRDefault="000E03F1" w:rsidP="000E03F1">
      <w:r>
        <w:t>The Linn County Circuit Court denied the defendant's motion to suppress evidence obtained from the search, ruling that anticipatory warrants were valid under both the Oregon and U.S. Constitutions. The Court of Appeals affirmed the trial court's decision, concluding that anticipatory warrants were permissible under Article I, section 9, and that the affidavit established probable cause.</w:t>
      </w:r>
    </w:p>
    <w:p w14:paraId="1CF0125E" w14:textId="77777777" w:rsidR="000E03F1" w:rsidRDefault="000E03F1" w:rsidP="000E03F1"/>
    <w:p w14:paraId="40FD5A38" w14:textId="77777777" w:rsidR="000E03F1" w:rsidRDefault="000E03F1" w:rsidP="000E03F1">
      <w:r>
        <w:t>The Oregon Supreme Court reviewed the case and declined to address the constitutional question. Instead, the court focused on Oregon's statutory warrant requirements, specifically ORS 133.555(2) and ORS 133.545(6). The court concluded that the affidavit in support of the warrant failed to comply with ORS 133.545(6), which requires that the facts and circumstances show that the objects of the search are in the places to be searched at the time of the warrant's issuance. As a result, the warrant did not comply with ORS 133.555(2), and the trial court erred in denying the defendant's motion to suppress.</w:t>
      </w:r>
    </w:p>
    <w:p w14:paraId="527AE76A" w14:textId="77777777" w:rsidR="000E03F1" w:rsidRDefault="000E03F1" w:rsidP="000E03F1"/>
    <w:p w14:paraId="171068F4" w14:textId="500CBBE0" w:rsidR="00AC783F" w:rsidRDefault="000E03F1" w:rsidP="000E03F1">
      <w:r>
        <w:t>The Oregon Supreme Court reversed the decision of the Court of Appeals and the judgment of the circuit court, remanding the case to the circuit court for further proceedings.</w:t>
      </w:r>
    </w:p>
    <w:p w14:paraId="202E04BD" w14:textId="77777777" w:rsidR="00AC783F" w:rsidRDefault="00AC783F" w:rsidP="00AC783F"/>
    <w:p w14:paraId="25FC625E" w14:textId="05453044" w:rsidR="00E558E1" w:rsidRDefault="00D22229" w:rsidP="00AC783F">
      <w:hyperlink r:id="rId7" w:history="1">
        <w:r w:rsidRPr="009A5EC7">
          <w:rPr>
            <w:rStyle w:val="Hyperlink"/>
          </w:rPr>
          <w:t>https://cases.justia.com/oregon/supreme-court/2025-s069654.pdf</w:t>
        </w:r>
      </w:hyperlink>
      <w:r>
        <w:t xml:space="preserve"> </w:t>
      </w:r>
    </w:p>
    <w:p w14:paraId="7D6275A8" w14:textId="77777777" w:rsidR="00D22229" w:rsidRDefault="00D22229" w:rsidP="00AC783F"/>
    <w:p w14:paraId="345B15BC" w14:textId="77777777" w:rsidR="00E558E1" w:rsidRDefault="00E558E1" w:rsidP="00AC783F"/>
    <w:p w14:paraId="15ADD235" w14:textId="44268913" w:rsidR="00E558E1" w:rsidRPr="0023129C" w:rsidRDefault="00E558E1" w:rsidP="00AC783F">
      <w:pPr>
        <w:rPr>
          <w:sz w:val="24"/>
          <w:szCs w:val="24"/>
        </w:rPr>
      </w:pPr>
      <w:r w:rsidRPr="0023129C">
        <w:rPr>
          <w:sz w:val="24"/>
          <w:szCs w:val="24"/>
        </w:rPr>
        <w:t>USE OF FORCE</w:t>
      </w:r>
    </w:p>
    <w:p w14:paraId="6E67FFF2" w14:textId="77777777" w:rsidR="00E558E1" w:rsidRDefault="00E558E1" w:rsidP="00AC783F"/>
    <w:p w14:paraId="5D75D25B" w14:textId="77777777" w:rsidR="00E558E1" w:rsidRPr="00E558E1" w:rsidRDefault="00E558E1" w:rsidP="00E558E1">
      <w:pPr>
        <w:rPr>
          <w:b/>
          <w:bCs/>
        </w:rPr>
      </w:pPr>
      <w:r w:rsidRPr="00E558E1">
        <w:rPr>
          <w:b/>
          <w:bCs/>
        </w:rPr>
        <w:t>Linton v. Zorn</w:t>
      </w:r>
    </w:p>
    <w:p w14:paraId="6FC1E034" w14:textId="6F55263C" w:rsidR="00E558E1" w:rsidRDefault="00E558E1" w:rsidP="00E558E1">
      <w:r>
        <w:t>U.S. Court of Appeals for the Second Circuit</w:t>
      </w:r>
    </w:p>
    <w:p w14:paraId="7BC325FF" w14:textId="37130AC5" w:rsidR="00E558E1" w:rsidRDefault="00E558E1" w:rsidP="00E558E1">
      <w:r w:rsidRPr="00E558E1">
        <w:lastRenderedPageBreak/>
        <w:t>April 24, 2025</w:t>
      </w:r>
    </w:p>
    <w:p w14:paraId="08959243" w14:textId="77777777" w:rsidR="00E558E1" w:rsidRDefault="00E558E1" w:rsidP="00E558E1">
      <w:r>
        <w:t>Docket: 22-2954</w:t>
      </w:r>
    </w:p>
    <w:p w14:paraId="6D18DA18" w14:textId="77777777" w:rsidR="00E558E1" w:rsidRDefault="00E558E1" w:rsidP="00E558E1"/>
    <w:p w14:paraId="676F3D1C" w14:textId="376A606E" w:rsidR="00E558E1" w:rsidRPr="0023129C" w:rsidRDefault="00E558E1" w:rsidP="00E558E1">
      <w:pPr>
        <w:rPr>
          <w:i/>
          <w:iCs/>
        </w:rPr>
      </w:pPr>
      <w:r w:rsidRPr="0023129C">
        <w:rPr>
          <w:i/>
          <w:iCs/>
        </w:rPr>
        <w:t xml:space="preserve">LEO LAW </w:t>
      </w:r>
      <w:proofErr w:type="gramStart"/>
      <w:r w:rsidRPr="0023129C">
        <w:rPr>
          <w:i/>
          <w:iCs/>
        </w:rPr>
        <w:t>Topics :</w:t>
      </w:r>
      <w:proofErr w:type="gramEnd"/>
      <w:r w:rsidRPr="0023129C">
        <w:rPr>
          <w:i/>
          <w:iCs/>
        </w:rPr>
        <w:t xml:space="preserve"> Use of wristlock pain compliance technique for mere passive resistance was clearly established as excessive use of force.</w:t>
      </w:r>
    </w:p>
    <w:p w14:paraId="31884007" w14:textId="77777777" w:rsidR="00E558E1" w:rsidRDefault="00E558E1" w:rsidP="00E558E1"/>
    <w:p w14:paraId="530D12C0" w14:textId="77777777" w:rsidR="00E558E1" w:rsidRDefault="00E558E1" w:rsidP="00E558E1">
      <w:r>
        <w:t>Ms. Shela Linton participated in a sit-in protest at the Vermont statehouse on January 8, 2015, against the governor's perceived lack of support for universal healthcare. When the statehouse closed at 8 p.m., law enforcement warned the demonstrators to leave or face arrest. Linton and others remained, linking arms and singing. During her arrest, Sergeant Jacob Zorn used a "rear wristlock" pain compliance technique, causing Linton to cry out in pain and suffer permanent injuries to her left wrist and shoulder. Linton later alleged that she was diagnosed with PTSD, depression, and anxiety due to the incident.</w:t>
      </w:r>
    </w:p>
    <w:p w14:paraId="37953128" w14:textId="77777777" w:rsidR="00E558E1" w:rsidRDefault="00E558E1" w:rsidP="00E558E1"/>
    <w:p w14:paraId="718BAA76" w14:textId="77777777" w:rsidR="00E558E1" w:rsidRDefault="00E558E1" w:rsidP="00E558E1">
      <w:r>
        <w:t>The United States District Court for the District of Vermont granted summary judgment in favor of Sergeant Zorn, concluding that he was entitled to qualified immunity. The court found that no clearly established law put Zorn on notice that his actions might violate Linton's Fourth Amendment rights. Linton appealed, arguing that the district court erred in its interpretation of relevant case law and failed to view the facts in the light most favorable to her.</w:t>
      </w:r>
    </w:p>
    <w:p w14:paraId="16177664" w14:textId="77777777" w:rsidR="00E558E1" w:rsidRDefault="00E558E1" w:rsidP="00E558E1"/>
    <w:p w14:paraId="44D51DAE" w14:textId="1D25A82E" w:rsidR="00E558E1" w:rsidRDefault="00E558E1" w:rsidP="00E558E1">
      <w:r>
        <w:t>The United States Court of Appeals for the Second Circuit reviewed the case and disagreed with the district court's decision. The appellate court held that the case Amnesty America v. Town of West Hartford clearly established that the gratuitous use of pain compliance techniques on a passively resisting protestor constitutes excessive force. The court found that genuine issues of material fact existed regarding the degree of Linton's resistance and the appropriateness of Zorn's use of force. Consequently, the Second Circuit vacated the district court's judgment and remanded the case for further proceedings to resolve these factual disputes.</w:t>
      </w:r>
    </w:p>
    <w:p w14:paraId="77981084" w14:textId="77777777" w:rsidR="00E558E1" w:rsidRDefault="00E558E1" w:rsidP="00E558E1"/>
    <w:p w14:paraId="6E10E601" w14:textId="39885796" w:rsidR="00E558E1" w:rsidRDefault="00D22229" w:rsidP="00E558E1">
      <w:hyperlink r:id="rId8" w:history="1">
        <w:r w:rsidRPr="009A5EC7">
          <w:rPr>
            <w:rStyle w:val="Hyperlink"/>
          </w:rPr>
          <w:t>https://cases.justia.com/federal/appellate-courts/ca2/22-2954/22-2954-2025-04-24.pdf</w:t>
        </w:r>
      </w:hyperlink>
    </w:p>
    <w:p w14:paraId="27E30B0A" w14:textId="77777777" w:rsidR="00D22229" w:rsidRDefault="00D22229" w:rsidP="00E558E1"/>
    <w:p w14:paraId="72720444" w14:textId="77777777" w:rsidR="00D22229" w:rsidRDefault="00D22229" w:rsidP="00E558E1"/>
    <w:p w14:paraId="37F1D3E0" w14:textId="77777777" w:rsidR="00157AF1" w:rsidRPr="00157AF1" w:rsidRDefault="00157AF1" w:rsidP="00157AF1">
      <w:pPr>
        <w:rPr>
          <w:b/>
          <w:bCs/>
        </w:rPr>
      </w:pPr>
      <w:r w:rsidRPr="00157AF1">
        <w:rPr>
          <w:b/>
          <w:bCs/>
        </w:rPr>
        <w:t>Harmon v. Salt Lake City</w:t>
      </w:r>
    </w:p>
    <w:p w14:paraId="3D690878" w14:textId="66ED4874" w:rsidR="00157AF1" w:rsidRDefault="00157AF1" w:rsidP="00157AF1">
      <w:r>
        <w:t>U.S. Court of Appeals for the Tenth Circuit</w:t>
      </w:r>
    </w:p>
    <w:p w14:paraId="0176B8A4" w14:textId="04C420A8" w:rsidR="00157AF1" w:rsidRDefault="00157AF1" w:rsidP="00157AF1">
      <w:r w:rsidRPr="00157AF1">
        <w:t>April 22, 2025</w:t>
      </w:r>
    </w:p>
    <w:p w14:paraId="42962546" w14:textId="77777777" w:rsidR="00157AF1" w:rsidRDefault="00157AF1" w:rsidP="00157AF1">
      <w:r>
        <w:t>Docket: 23-4125</w:t>
      </w:r>
    </w:p>
    <w:p w14:paraId="1520C307" w14:textId="77777777" w:rsidR="00157AF1" w:rsidRDefault="00157AF1" w:rsidP="00157AF1"/>
    <w:p w14:paraId="4DD874E3" w14:textId="5DFCBCFB" w:rsidR="00157AF1" w:rsidRPr="0023129C" w:rsidRDefault="00157AF1" w:rsidP="00157AF1">
      <w:pPr>
        <w:rPr>
          <w:i/>
          <w:iCs/>
        </w:rPr>
      </w:pPr>
      <w:r w:rsidRPr="0023129C">
        <w:rPr>
          <w:i/>
          <w:iCs/>
        </w:rPr>
        <w:t>LEO LAW Topics: Use of deadly force on a knife-wielding suspect.</w:t>
      </w:r>
    </w:p>
    <w:p w14:paraId="040918DC" w14:textId="77777777" w:rsidR="00157AF1" w:rsidRDefault="00157AF1" w:rsidP="00157AF1"/>
    <w:p w14:paraId="6C0B7514" w14:textId="77777777" w:rsidR="00157AF1" w:rsidRDefault="00157AF1" w:rsidP="00157AF1">
      <w:r>
        <w:t>Patrick Harmon was stopped by Salt Lake City police officer Kris Smith for a traffic violation while riding a bicycle. Harmon provided a false name, but Officer Smith identified him and discovered an active felony warrant. When Officer Smith attempted to arrest Harmon, he fled. Officers Clinton Fox and Scott Robinson joined the chase. The officers reported seeing Harmon reach towards his waist or pocket and heard him mention cutting or stabbing. Officer Fox claimed he saw Harmon holding a knife and shot him three times from five to seven feet away. Officer Smith, who was about fifteen feet away, fired his taser. Harmon died from the gunshots, and a knife was found near his right arm.</w:t>
      </w:r>
    </w:p>
    <w:p w14:paraId="0E977335" w14:textId="77777777" w:rsidR="00157AF1" w:rsidRDefault="00157AF1" w:rsidP="00157AF1"/>
    <w:p w14:paraId="632B844E" w14:textId="77777777" w:rsidR="00157AF1" w:rsidRDefault="00157AF1" w:rsidP="00157AF1">
      <w:r>
        <w:t xml:space="preserve">Harmon's estate and his children sued Officer Fox and Salt Lake City for excessive force. The United States District Court for the District of Utah dismissed the case, but the Tenth Circuit Court of </w:t>
      </w:r>
      <w:r>
        <w:lastRenderedPageBreak/>
        <w:t>Appeals reversed and remanded. On remand, the district court granted summary judgment to Officer Fox and Salt Lake City, concluding that any factfinder would determine Harmon was holding a knife and that the shooting was reasonable.</w:t>
      </w:r>
    </w:p>
    <w:p w14:paraId="177F8C30" w14:textId="77777777" w:rsidR="00157AF1" w:rsidRDefault="00157AF1" w:rsidP="00157AF1"/>
    <w:p w14:paraId="63DCBC00" w14:textId="1331DDD7" w:rsidR="00D22229" w:rsidRDefault="00157AF1" w:rsidP="00157AF1">
      <w:r>
        <w:t>The United States Court of Appeals for the Tenth Circuit reviewed the case de novo. The court found that a genuine dispute of material fact existed regarding whether Harmon brandished a knife or threatened the officers. The court noted that the video evidence did not clearly show a knife, and Officer Smith testified he did not see a knife. The court concluded that a factfinder could reasonably find that Harmon did not pose an imminent threat, making the use of deadly force unreasonable. The court held that Officer Fox was not entitled to qualified immunity and reversed the summary judgment, remanding the case for further proceedings.</w:t>
      </w:r>
    </w:p>
    <w:p w14:paraId="2298B436" w14:textId="77777777" w:rsidR="00157AF1" w:rsidRDefault="00157AF1" w:rsidP="00157AF1"/>
    <w:p w14:paraId="3F7A447D" w14:textId="1EE9FFB6" w:rsidR="00157AF1" w:rsidRDefault="00157AF1" w:rsidP="00157AF1">
      <w:hyperlink r:id="rId9" w:history="1">
        <w:r w:rsidRPr="009A5EC7">
          <w:rPr>
            <w:rStyle w:val="Hyperlink"/>
          </w:rPr>
          <w:t>https://cases.justia.com/federal/appellate-courts/ca10/23-4125/23-4125-2025-04-22.pdf</w:t>
        </w:r>
      </w:hyperlink>
    </w:p>
    <w:p w14:paraId="3D9FF96E" w14:textId="77777777" w:rsidR="00157AF1" w:rsidRDefault="00157AF1" w:rsidP="00157AF1"/>
    <w:p w14:paraId="30C63771" w14:textId="77777777" w:rsidR="00157AF1" w:rsidRDefault="00157AF1" w:rsidP="00157AF1"/>
    <w:p w14:paraId="7B48C048" w14:textId="77777777" w:rsidR="00157AF1" w:rsidRDefault="00157AF1" w:rsidP="00157AF1"/>
    <w:p w14:paraId="3DFE2D22" w14:textId="77777777" w:rsidR="00157AF1" w:rsidRDefault="00157AF1" w:rsidP="00157AF1"/>
    <w:p w14:paraId="0072126F" w14:textId="77777777" w:rsidR="00157AF1" w:rsidRDefault="00157AF1" w:rsidP="00157AF1"/>
    <w:sectPr w:rsidR="00157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B7"/>
    <w:rsid w:val="000E03F1"/>
    <w:rsid w:val="00157AF1"/>
    <w:rsid w:val="001F42B7"/>
    <w:rsid w:val="0023129C"/>
    <w:rsid w:val="002550DE"/>
    <w:rsid w:val="003D5635"/>
    <w:rsid w:val="00680ED6"/>
    <w:rsid w:val="007A731D"/>
    <w:rsid w:val="00AC783F"/>
    <w:rsid w:val="00C04E35"/>
    <w:rsid w:val="00D22229"/>
    <w:rsid w:val="00DF4922"/>
    <w:rsid w:val="00E558E1"/>
    <w:rsid w:val="00E81240"/>
    <w:rsid w:val="00ED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4ADC0"/>
  <w15:chartTrackingRefBased/>
  <w15:docId w15:val="{E7C9BC6D-16C4-4894-BB99-3AD7C3186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2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2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2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2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2B7"/>
    <w:rPr>
      <w:rFonts w:eastAsiaTheme="majorEastAsia" w:cstheme="majorBidi"/>
      <w:color w:val="272727" w:themeColor="text1" w:themeTint="D8"/>
    </w:rPr>
  </w:style>
  <w:style w:type="paragraph" w:styleId="Title">
    <w:name w:val="Title"/>
    <w:basedOn w:val="Normal"/>
    <w:next w:val="Normal"/>
    <w:link w:val="TitleChar"/>
    <w:uiPriority w:val="10"/>
    <w:qFormat/>
    <w:rsid w:val="001F42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2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2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42B7"/>
    <w:rPr>
      <w:i/>
      <w:iCs/>
      <w:color w:val="404040" w:themeColor="text1" w:themeTint="BF"/>
    </w:rPr>
  </w:style>
  <w:style w:type="paragraph" w:styleId="ListParagraph">
    <w:name w:val="List Paragraph"/>
    <w:basedOn w:val="Normal"/>
    <w:uiPriority w:val="34"/>
    <w:qFormat/>
    <w:rsid w:val="001F42B7"/>
    <w:pPr>
      <w:ind w:left="720"/>
      <w:contextualSpacing/>
    </w:pPr>
  </w:style>
  <w:style w:type="character" w:styleId="IntenseEmphasis">
    <w:name w:val="Intense Emphasis"/>
    <w:basedOn w:val="DefaultParagraphFont"/>
    <w:uiPriority w:val="21"/>
    <w:qFormat/>
    <w:rsid w:val="001F42B7"/>
    <w:rPr>
      <w:i/>
      <w:iCs/>
      <w:color w:val="0F4761" w:themeColor="accent1" w:themeShade="BF"/>
    </w:rPr>
  </w:style>
  <w:style w:type="paragraph" w:styleId="IntenseQuote">
    <w:name w:val="Intense Quote"/>
    <w:basedOn w:val="Normal"/>
    <w:next w:val="Normal"/>
    <w:link w:val="IntenseQuoteChar"/>
    <w:uiPriority w:val="30"/>
    <w:qFormat/>
    <w:rsid w:val="001F4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2B7"/>
    <w:rPr>
      <w:i/>
      <w:iCs/>
      <w:color w:val="0F4761" w:themeColor="accent1" w:themeShade="BF"/>
    </w:rPr>
  </w:style>
  <w:style w:type="character" w:styleId="IntenseReference">
    <w:name w:val="Intense Reference"/>
    <w:basedOn w:val="DefaultParagraphFont"/>
    <w:uiPriority w:val="32"/>
    <w:qFormat/>
    <w:rsid w:val="001F42B7"/>
    <w:rPr>
      <w:b/>
      <w:bCs/>
      <w:smallCaps/>
      <w:color w:val="0F4761" w:themeColor="accent1" w:themeShade="BF"/>
      <w:spacing w:val="5"/>
    </w:rPr>
  </w:style>
  <w:style w:type="character" w:styleId="Hyperlink">
    <w:name w:val="Hyperlink"/>
    <w:basedOn w:val="DefaultParagraphFont"/>
    <w:uiPriority w:val="99"/>
    <w:unhideWhenUsed/>
    <w:rsid w:val="00AC783F"/>
    <w:rPr>
      <w:color w:val="467886" w:themeColor="hyperlink"/>
      <w:u w:val="single"/>
    </w:rPr>
  </w:style>
  <w:style w:type="character" w:styleId="UnresolvedMention">
    <w:name w:val="Unresolved Mention"/>
    <w:basedOn w:val="DefaultParagraphFont"/>
    <w:uiPriority w:val="99"/>
    <w:semiHidden/>
    <w:unhideWhenUsed/>
    <w:rsid w:val="00AC7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2/22-2954/22-2954-2025-04-24.pdf" TargetMode="External"/><Relationship Id="rId3" Type="http://schemas.openxmlformats.org/officeDocument/2006/relationships/webSettings" Target="webSettings.xml"/><Relationship Id="rId7" Type="http://schemas.openxmlformats.org/officeDocument/2006/relationships/hyperlink" Target="https://cases.justia.com/oregon/supreme-court/2025-s069654.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0/23-1397/23-1397-2025-04-22.pdf" TargetMode="External"/><Relationship Id="rId11" Type="http://schemas.openxmlformats.org/officeDocument/2006/relationships/theme" Target="theme/theme1.xml"/><Relationship Id="rId5" Type="http://schemas.openxmlformats.org/officeDocument/2006/relationships/hyperlink" Target="https://cases.justia.com/federal/appellate-courts/ca9/24-1493/24-1493-2025-04-23.pdf" TargetMode="External"/><Relationship Id="rId10" Type="http://schemas.openxmlformats.org/officeDocument/2006/relationships/fontTable" Target="fontTable.xml"/><Relationship Id="rId4" Type="http://schemas.openxmlformats.org/officeDocument/2006/relationships/hyperlink" Target="https://cases.justia.com/federal/appellate-courts/ca5/23-30103/23-30103-2025-04-18.pdf" TargetMode="External"/><Relationship Id="rId9" Type="http://schemas.openxmlformats.org/officeDocument/2006/relationships/hyperlink" Target="https://cases.justia.com/federal/appellate-courts/ca10/23-4125/23-4125-2025-04-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1927</Words>
  <Characters>10659</Characters>
  <Application>Microsoft Office Word</Application>
  <DocSecurity>0</DocSecurity>
  <Lines>217</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2025-04-25T14:39:00Z</dcterms:created>
  <dcterms:modified xsi:type="dcterms:W3CDTF">2025-04-25T15:38:00Z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6a5861bc-d715-4cd8-babe-a1cbb171c5d5</vt:lpwstr>
  </property>
</Properties>
</file>