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4C6465" w14:textId="0C880C0B" w:rsidR="00001D7D" w:rsidRDefault="00001D7D">
      <w:r>
        <w:t>Cases 18JUL2025</w:t>
      </w:r>
    </w:p>
    <w:p w14:paraId="317A4D04" w14:textId="77777777" w:rsidR="00F55149" w:rsidRDefault="00F55149" w:rsidP="00F55149">
      <w:r>
        <w:t>Alexander v. Taft</w:t>
      </w:r>
    </w:p>
    <w:p w14:paraId="3BE96B3E" w14:textId="77777777" w:rsidR="00F55149" w:rsidRDefault="00F55149" w:rsidP="00F55149"/>
    <w:p w14:paraId="04C40CBC" w14:textId="77777777" w:rsidR="00F55149" w:rsidRDefault="00F55149" w:rsidP="00F55149">
      <w:r>
        <w:t>Court: U.S. Court of Appeals for the Fifth Circuit</w:t>
      </w:r>
    </w:p>
    <w:p w14:paraId="7029284A" w14:textId="77777777" w:rsidR="00F55149" w:rsidRDefault="00F55149" w:rsidP="00F55149"/>
    <w:p w14:paraId="75FB8E39" w14:textId="77777777" w:rsidR="00F55149" w:rsidRDefault="00F55149" w:rsidP="00F55149">
      <w:r>
        <w:t>Docket: 24-10663</w:t>
      </w:r>
    </w:p>
    <w:p w14:paraId="4E8C1DE9" w14:textId="77777777" w:rsidR="00F55149" w:rsidRDefault="00F55149" w:rsidP="00F55149"/>
    <w:p w14:paraId="70646190" w14:textId="77777777" w:rsidR="00F55149" w:rsidRDefault="00F55149" w:rsidP="00F55149">
      <w:r>
        <w:t>Opinion Date: July 10, 2025</w:t>
      </w:r>
    </w:p>
    <w:p w14:paraId="55FFBD0F" w14:textId="77777777" w:rsidR="00F55149" w:rsidRDefault="00F55149" w:rsidP="00F55149"/>
    <w:p w14:paraId="4F04CA15" w14:textId="77777777" w:rsidR="00F55149" w:rsidRDefault="00F55149" w:rsidP="00F55149">
      <w:r>
        <w:t>Judge: Dana Douglas</w:t>
      </w:r>
    </w:p>
    <w:p w14:paraId="05C9551C" w14:textId="77777777" w:rsidR="00F55149" w:rsidRDefault="00F55149" w:rsidP="00F55149"/>
    <w:p w14:paraId="17D2BF9B" w14:textId="77777777" w:rsidR="00F55149" w:rsidRDefault="00F55149" w:rsidP="00F55149">
      <w:r>
        <w:t>Areas of Law: Civil Rights, Constitutional Law</w:t>
      </w:r>
    </w:p>
    <w:p w14:paraId="0B0D6C23" w14:textId="77777777" w:rsidR="00F55149" w:rsidRDefault="00F55149" w:rsidP="00F55149"/>
    <w:p w14:paraId="1CFA317D" w14:textId="77777777" w:rsidR="00F55149" w:rsidRDefault="00F55149" w:rsidP="00F55149">
      <w:r>
        <w:t>Ronnie Alexander was arrested and detained in Henderson County Jail while awaiting trial. He falsely informed jail officials that he was suicidal to be transferred out of the group holding cell. Consequently, he was moved to the jail's suicide-prevention cell, known as the "violent cell," which lacked basic amenities such as a toilet, running water, or bedding, and had lights on at all hours. Alexander was housed there for five days before being released. He subsequently filed a lawsuit challenging the conditions of his confinement and the adequacy of the jail's mental health services.</w:t>
      </w:r>
    </w:p>
    <w:p w14:paraId="454959C8" w14:textId="77777777" w:rsidR="00F55149" w:rsidRDefault="00F55149" w:rsidP="00F55149"/>
    <w:p w14:paraId="2A06318A" w14:textId="77777777" w:rsidR="00F55149" w:rsidRDefault="00F55149" w:rsidP="00F55149">
      <w:r>
        <w:t>The United States District Court for the Northern District of Texas granted the defendants' motions to dismiss Alexander's federal and state-law claims. The court found that Alexander failed to state a claim under 42 U.S.C. § 1983 against the Taft defendants, Henderson County, and the correctional officers. The court also declined to exercise supplemental jurisdiction over Alexander's remaining state-law claims and dismissed them without prejudice.</w:t>
      </w:r>
    </w:p>
    <w:p w14:paraId="4AA7337B" w14:textId="77777777" w:rsidR="00F55149" w:rsidRDefault="00F55149" w:rsidP="00F55149"/>
    <w:p w14:paraId="4BFF3737" w14:textId="0B6EBFF1" w:rsidR="00001D7D" w:rsidRDefault="00F55149" w:rsidP="00F55149">
      <w:r>
        <w:t xml:space="preserve">The United States Court of Appeals for the Fifth Circuit reviewed the case and affirmed the district court's decision. The court held that the conditions of the violent cell were </w:t>
      </w:r>
      <w:r>
        <w:lastRenderedPageBreak/>
        <w:t>reasonably related to the legitimate governmental interest of protecting suicidal inmates from self-harm. The court found that the conditions, although harsh, were not punitive and did not violate Alexander's constitutional rights. The court also determined that the mental health care provided to Alexander met the constitutional minimum required, and there was no deliberate indifference by the Taft defendants or the county. Consequently, Alexander's claims were dismissed.</w:t>
      </w:r>
    </w:p>
    <w:p w14:paraId="78CF61D3" w14:textId="18069ACB" w:rsidR="00F55149" w:rsidRDefault="00F55149" w:rsidP="00F55149">
      <w:hyperlink r:id="rId4" w:history="1">
        <w:r w:rsidRPr="00C26B90">
          <w:rPr>
            <w:rStyle w:val="Hyperlink"/>
          </w:rPr>
          <w:t>https://cases.justia.com/federal/appellate-courts/ca5/24-10663/24-10663-2025-07-10.pdf</w:t>
        </w:r>
      </w:hyperlink>
      <w:r>
        <w:t xml:space="preserve"> </w:t>
      </w:r>
    </w:p>
    <w:p w14:paraId="5E323988" w14:textId="77777777" w:rsidR="00F55149" w:rsidRDefault="00F55149" w:rsidP="00F55149"/>
    <w:p w14:paraId="106A20B5" w14:textId="77777777" w:rsidR="00F55149" w:rsidRDefault="00F55149" w:rsidP="00F55149">
      <w:r>
        <w:t>United States v. Walker</w:t>
      </w:r>
    </w:p>
    <w:p w14:paraId="52758609" w14:textId="77777777" w:rsidR="00F55149" w:rsidRDefault="00F55149" w:rsidP="00F55149"/>
    <w:p w14:paraId="01A3EFA6" w14:textId="77777777" w:rsidR="00F55149" w:rsidRDefault="00F55149" w:rsidP="00F55149">
      <w:r>
        <w:t>Court: U.S. Court of Appeals for the Seventh Circuit</w:t>
      </w:r>
    </w:p>
    <w:p w14:paraId="092D67C2" w14:textId="77777777" w:rsidR="00F55149" w:rsidRDefault="00F55149" w:rsidP="00F55149"/>
    <w:p w14:paraId="2DF236A6" w14:textId="77777777" w:rsidR="00F55149" w:rsidRDefault="00F55149" w:rsidP="00F55149">
      <w:r>
        <w:t>Docket: 24-1522</w:t>
      </w:r>
    </w:p>
    <w:p w14:paraId="402753FC" w14:textId="77777777" w:rsidR="00F55149" w:rsidRDefault="00F55149" w:rsidP="00F55149"/>
    <w:p w14:paraId="3FCDCC4B" w14:textId="77777777" w:rsidR="00F55149" w:rsidRDefault="00F55149" w:rsidP="00F55149">
      <w:r>
        <w:t>Opinion Date: July 17, 2025</w:t>
      </w:r>
    </w:p>
    <w:p w14:paraId="55231E08" w14:textId="77777777" w:rsidR="00F55149" w:rsidRDefault="00F55149" w:rsidP="00F55149"/>
    <w:p w14:paraId="3F43E901" w14:textId="77777777" w:rsidR="00F55149" w:rsidRDefault="00F55149" w:rsidP="00F55149">
      <w:r>
        <w:t>Judge: Doris Pryor</w:t>
      </w:r>
    </w:p>
    <w:p w14:paraId="2B4EABDF" w14:textId="77777777" w:rsidR="00F55149" w:rsidRDefault="00F55149" w:rsidP="00F55149"/>
    <w:p w14:paraId="0424620E" w14:textId="77777777" w:rsidR="00F55149" w:rsidRDefault="00F55149" w:rsidP="00F55149">
      <w:r>
        <w:t>Areas of Law: Civil Rights, Constitutional Law, Criminal Law</w:t>
      </w:r>
    </w:p>
    <w:p w14:paraId="02D276FA" w14:textId="77777777" w:rsidR="00F55149" w:rsidRDefault="00F55149" w:rsidP="00F55149"/>
    <w:p w14:paraId="5F2AF7A9" w14:textId="77777777" w:rsidR="00F55149" w:rsidRDefault="00F55149" w:rsidP="00F55149">
      <w:r>
        <w:t>Richard Walker was arrested at his girlfriend Ramona Paulette's residence, where he was staying overnight. Officers conducted a protective sweep of the residence and found a loaded firearm under the mattress in Walker Jr.'s bedroom. Later, with consent from Paulette's mother, Laverne Shipp, officers conducted a second search and found drugs in Paulette's bedroom. Walker was indicted for being a felon in possession of a firearm and possession with intent to distribute fentanyl. He moved to suppress the evidence, arguing the searches violated the Fourth Amendment.</w:t>
      </w:r>
    </w:p>
    <w:p w14:paraId="0E6BF9FF" w14:textId="77777777" w:rsidR="00F55149" w:rsidRDefault="00F55149" w:rsidP="00F55149"/>
    <w:p w14:paraId="5F626FD2" w14:textId="77777777" w:rsidR="00F55149" w:rsidRDefault="00F55149" w:rsidP="00F55149">
      <w:r>
        <w:t xml:space="preserve">The United States District Court for the Southern District of Illinois denied Walker's motion to suppress, finding the protective sweep and subsequent search justified. Walker entered </w:t>
      </w:r>
      <w:r>
        <w:lastRenderedPageBreak/>
        <w:t>a conditional guilty plea, reserving the right to appeal the denial of his suppression motion. He was sentenced to 51 months' imprisonment and three years of supervised release.</w:t>
      </w:r>
    </w:p>
    <w:p w14:paraId="5E68B05E" w14:textId="77777777" w:rsidR="00F55149" w:rsidRDefault="00F55149" w:rsidP="00F55149"/>
    <w:p w14:paraId="7142E142" w14:textId="77777777" w:rsidR="00F55149" w:rsidRDefault="00F55149" w:rsidP="00F55149">
      <w:r>
        <w:t>The United States Court of Appeals for the Seventh Circuit reviewed the case. Walker argued that the firearm and drugs were discovered through an unconstitutional search. The court found that Walker had standing to challenge the search and that the protective sweep was unlawful in scope when officers lifted the mattress in Walker Jr.'s bedroom. The court also determined that the district court erred in applying the attenuation exception to the exclusionary rule and did not address the inevitable discovery exception.</w:t>
      </w:r>
    </w:p>
    <w:p w14:paraId="2DC89C63" w14:textId="77777777" w:rsidR="00F55149" w:rsidRDefault="00F55149" w:rsidP="00F55149"/>
    <w:p w14:paraId="79E39F37" w14:textId="04243BBD" w:rsidR="00F55149" w:rsidRDefault="00F55149" w:rsidP="00F55149">
      <w:r>
        <w:t>The Seventh Circuit reversed the district court's denial of Walker's suppression motion and remanded the case for further proceedings to determine if the inevitable discovery exception applied and to reassess whether Shipp's consent justified the second search.</w:t>
      </w:r>
    </w:p>
    <w:p w14:paraId="1520AE6A" w14:textId="4AD7F2B4" w:rsidR="00F55149" w:rsidRDefault="00773E82" w:rsidP="00F55149">
      <w:hyperlink r:id="rId5" w:history="1">
        <w:r w:rsidRPr="00C26B90">
          <w:rPr>
            <w:rStyle w:val="Hyperlink"/>
          </w:rPr>
          <w:t>https://cases.justia.com/federal/appellate-courts/ca7/24-1522/24-1522-2025-07-17.pdf</w:t>
        </w:r>
      </w:hyperlink>
      <w:r>
        <w:t xml:space="preserve"> </w:t>
      </w:r>
    </w:p>
    <w:p w14:paraId="2A950ABD" w14:textId="77777777" w:rsidR="00773E82" w:rsidRDefault="00773E82" w:rsidP="00F55149"/>
    <w:p w14:paraId="6E3FC707" w14:textId="77777777" w:rsidR="006822A6" w:rsidRDefault="006822A6" w:rsidP="006822A6">
      <w:r>
        <w:t>United States v. Morgan</w:t>
      </w:r>
    </w:p>
    <w:p w14:paraId="1FC35A98" w14:textId="77777777" w:rsidR="006822A6" w:rsidRDefault="006822A6" w:rsidP="006822A6"/>
    <w:p w14:paraId="24774739" w14:textId="77777777" w:rsidR="006822A6" w:rsidRDefault="006822A6" w:rsidP="006822A6">
      <w:r>
        <w:t>Court: U.S. Court of Appeals for the Eleventh Circuit</w:t>
      </w:r>
    </w:p>
    <w:p w14:paraId="0EF40C8F" w14:textId="77777777" w:rsidR="006822A6" w:rsidRDefault="006822A6" w:rsidP="006822A6"/>
    <w:p w14:paraId="43927BED" w14:textId="77777777" w:rsidR="006822A6" w:rsidRDefault="006822A6" w:rsidP="006822A6">
      <w:r>
        <w:t>Docket: 23-11114</w:t>
      </w:r>
    </w:p>
    <w:p w14:paraId="65A912DB" w14:textId="77777777" w:rsidR="006822A6" w:rsidRDefault="006822A6" w:rsidP="006822A6"/>
    <w:p w14:paraId="22453AA5" w14:textId="77777777" w:rsidR="006822A6" w:rsidRDefault="006822A6" w:rsidP="006822A6">
      <w:r>
        <w:t>Opinion Date: July 11, 2025</w:t>
      </w:r>
    </w:p>
    <w:p w14:paraId="54E792AC" w14:textId="77777777" w:rsidR="006822A6" w:rsidRDefault="006822A6" w:rsidP="006822A6"/>
    <w:p w14:paraId="52F2BC4E" w14:textId="77777777" w:rsidR="006822A6" w:rsidRDefault="006822A6" w:rsidP="006822A6">
      <w:r>
        <w:t>Judge: Kevin C. Newsom</w:t>
      </w:r>
    </w:p>
    <w:p w14:paraId="452EE4C9" w14:textId="77777777" w:rsidR="006822A6" w:rsidRDefault="006822A6" w:rsidP="006822A6"/>
    <w:p w14:paraId="330BD4CD" w14:textId="77777777" w:rsidR="006822A6" w:rsidRDefault="006822A6" w:rsidP="006822A6">
      <w:r>
        <w:t>Areas of Law: Constitutional Law, Criminal Law</w:t>
      </w:r>
    </w:p>
    <w:p w14:paraId="67EF97E2" w14:textId="77777777" w:rsidR="006822A6" w:rsidRDefault="006822A6" w:rsidP="006822A6"/>
    <w:p w14:paraId="6DA2AA04" w14:textId="77777777" w:rsidR="006822A6" w:rsidRDefault="006822A6" w:rsidP="006822A6">
      <w:r>
        <w:t xml:space="preserve">Steven Morgan was convicted by a jury of three drug-trafficking crimes for smuggling cocaine from the Caribbean into South Florida. The scheme involved shipping jars of </w:t>
      </w:r>
      <w:r>
        <w:lastRenderedPageBreak/>
        <w:t>shaving gel with false bottoms containing cocaine. The operation was discovered when law enforcement dogs in Puerto Rico alerted on packages containing cocaine. A controlled delivery led to Morgan's arrest, during which two cellphones were found near him. Morgan initially claimed ownership of both phones but later stated only the iPhone was his.</w:t>
      </w:r>
    </w:p>
    <w:p w14:paraId="14615165" w14:textId="77777777" w:rsidR="006822A6" w:rsidRDefault="006822A6" w:rsidP="006822A6"/>
    <w:p w14:paraId="747C3F91" w14:textId="77777777" w:rsidR="006822A6" w:rsidRDefault="006822A6" w:rsidP="006822A6">
      <w:r>
        <w:t>The United States District Court for the Southern District of Florida suppressed Morgan's statement in the patrol car and his statements made 18 months later but admitted the LG phone's contents, finding Morgan had abandoned it. The court also allowed the government to introduce Morgan's initial statement claiming ownership of both phones but later reversed this decision during the trial.</w:t>
      </w:r>
    </w:p>
    <w:p w14:paraId="5D9FA080" w14:textId="77777777" w:rsidR="006822A6" w:rsidRDefault="006822A6" w:rsidP="006822A6"/>
    <w:p w14:paraId="010FACAE" w14:textId="4FDD2E08" w:rsidR="00773E82" w:rsidRDefault="006822A6" w:rsidP="006822A6">
      <w:r>
        <w:t>The United States Court of Appeals for the Eleventh Circuit reviewed the case. The court held that the district court did not err in finding Morgan had abandoned the LG phone, thus allowing its contents to be admitted. The court also found that the Fifth Amendment did not require suppression of the phone's contents, as Morgan's statement was voluntary despite being obtained in violation of Miranda. The court affirmed the district court's denial of a mistrial after an agent referred to Morgan's suppressed statement, finding no substantial prejudice. The court also upheld the admission of testimony from Agent Gaviria and expert testimony from Agent Suarez, finding no plain error in the government's expert disclosures. Finally, the court found no cumulative error warranting reversal and affirmed Morgan's conviction.</w:t>
      </w:r>
    </w:p>
    <w:p w14:paraId="5A11E3DF" w14:textId="11BE92D8" w:rsidR="006822A6" w:rsidRDefault="006822A6" w:rsidP="006822A6">
      <w:hyperlink r:id="rId6" w:history="1">
        <w:r w:rsidRPr="00C26B90">
          <w:rPr>
            <w:rStyle w:val="Hyperlink"/>
          </w:rPr>
          <w:t>https://cases.justia.com/federal/appellate-courts/ca11/23-11114/23-11114-2025-07-11.pdf</w:t>
        </w:r>
      </w:hyperlink>
      <w:r>
        <w:t xml:space="preserve"> </w:t>
      </w:r>
    </w:p>
    <w:p w14:paraId="1900EAB4" w14:textId="77777777" w:rsidR="006822A6" w:rsidRDefault="006822A6" w:rsidP="006822A6"/>
    <w:p w14:paraId="2B25249E" w14:textId="77777777" w:rsidR="006822A6" w:rsidRDefault="006822A6" w:rsidP="006822A6">
      <w:r>
        <w:t>Jones v. Secret Service</w:t>
      </w:r>
    </w:p>
    <w:p w14:paraId="4AFA7E04" w14:textId="77777777" w:rsidR="006822A6" w:rsidRDefault="006822A6" w:rsidP="006822A6"/>
    <w:p w14:paraId="06C13746" w14:textId="77777777" w:rsidR="006822A6" w:rsidRDefault="006822A6" w:rsidP="006822A6">
      <w:r>
        <w:t>Court: U.S. Court of Appeals for the District of Columbia Circuit</w:t>
      </w:r>
    </w:p>
    <w:p w14:paraId="3D722769" w14:textId="77777777" w:rsidR="006822A6" w:rsidRDefault="006822A6" w:rsidP="006822A6"/>
    <w:p w14:paraId="5F5EBCB6" w14:textId="77777777" w:rsidR="006822A6" w:rsidRDefault="006822A6" w:rsidP="006822A6">
      <w:r>
        <w:t>Docket: 23-5288</w:t>
      </w:r>
    </w:p>
    <w:p w14:paraId="507A7C97" w14:textId="77777777" w:rsidR="006822A6" w:rsidRDefault="006822A6" w:rsidP="006822A6"/>
    <w:p w14:paraId="060A8AF8" w14:textId="77777777" w:rsidR="006822A6" w:rsidRDefault="006822A6" w:rsidP="006822A6">
      <w:r>
        <w:t>Opinion Date: July 15, 2025</w:t>
      </w:r>
    </w:p>
    <w:p w14:paraId="5D8204F6" w14:textId="77777777" w:rsidR="006822A6" w:rsidRDefault="006822A6" w:rsidP="006822A6"/>
    <w:p w14:paraId="60054C66" w14:textId="77777777" w:rsidR="006822A6" w:rsidRDefault="006822A6" w:rsidP="006822A6">
      <w:r>
        <w:t>Judge: Justin Walker</w:t>
      </w:r>
    </w:p>
    <w:p w14:paraId="4650C8A2" w14:textId="77777777" w:rsidR="006822A6" w:rsidRDefault="006822A6" w:rsidP="006822A6"/>
    <w:p w14:paraId="242DD80E" w14:textId="77777777" w:rsidR="006822A6" w:rsidRDefault="006822A6" w:rsidP="006822A6">
      <w:r>
        <w:t>Areas of Law: Civil Rights, Constitutional Law, Government &amp; Administrative Law</w:t>
      </w:r>
    </w:p>
    <w:p w14:paraId="0DC64577" w14:textId="77777777" w:rsidR="006822A6" w:rsidRDefault="006822A6" w:rsidP="006822A6"/>
    <w:p w14:paraId="0A639870" w14:textId="77777777" w:rsidR="006822A6" w:rsidRDefault="006822A6" w:rsidP="006822A6">
      <w:r>
        <w:t>Tobias Jones, a self-described citizen journalist, was filming a Secret Service building in Washington, D.C. when two officers ordered him to stop. When he refused, they detained, handcuffed, and searched him. A third officer later informed Jones that he had the right to film, and he was released. Jones sued the officers for damages, claiming violations of his First and Fourth Amendment rights, and sought prospective relief against the Secret Service.</w:t>
      </w:r>
    </w:p>
    <w:p w14:paraId="29DBA8A0" w14:textId="77777777" w:rsidR="006822A6" w:rsidRDefault="006822A6" w:rsidP="006822A6"/>
    <w:p w14:paraId="6AE0D4D8" w14:textId="77777777" w:rsidR="006822A6" w:rsidRDefault="006822A6" w:rsidP="006822A6">
      <w:r>
        <w:t>The United States District Court for the District of Columbia dismissed Jones' case. The court held that Jones did not have a valid cause of action for damages under Bivens v. Six Unknown Named Agents of Federal Bureau of Narcotics and lacked standing to seek injunctive or declaratory relief.</w:t>
      </w:r>
    </w:p>
    <w:p w14:paraId="4E5250B0" w14:textId="77777777" w:rsidR="006822A6" w:rsidRDefault="006822A6" w:rsidP="006822A6"/>
    <w:p w14:paraId="46EE5145" w14:textId="77777777" w:rsidR="006822A6" w:rsidRDefault="006822A6" w:rsidP="006822A6">
      <w:r>
        <w:t>The United States Court of Appeals for the District of Columbia Circuit reviewed the case. The court held that Jones' Fourth Amendment claims presented a new context under Bivens, as the Secret Service officers were performing protective duties, which differ from the law enforcement activities in Bivens. The court found that extending Bivens to this new context was inappropriate due to the potential for judicial intrusion into executive functions and the availability of alternative remedies through the Department of Homeland Security. The court also declined to extend Bivens to Jones' First Amendment claim, noting that the Supreme Court has never done so and has foreclosed Bivens remedies for First Amendment retaliation claims.</w:t>
      </w:r>
    </w:p>
    <w:p w14:paraId="3FB09C08" w14:textId="77777777" w:rsidR="006822A6" w:rsidRDefault="006822A6" w:rsidP="006822A6"/>
    <w:p w14:paraId="755EC22F" w14:textId="77777777" w:rsidR="006822A6" w:rsidRDefault="006822A6" w:rsidP="006822A6">
      <w:r>
        <w:t>Regarding prospective relief, the court held that Jones lacked standing because he did not plausibly allege a substantial risk of future harm. The court noted that Jones' allegations of potential future encounters with Secret Service officers were speculative and insufficient to establish standing.</w:t>
      </w:r>
    </w:p>
    <w:p w14:paraId="4F4C78C3" w14:textId="77777777" w:rsidR="006822A6" w:rsidRDefault="006822A6" w:rsidP="006822A6"/>
    <w:p w14:paraId="426257C2" w14:textId="43C1BC10" w:rsidR="006822A6" w:rsidRDefault="006822A6" w:rsidP="006822A6">
      <w:r>
        <w:lastRenderedPageBreak/>
        <w:t>The court affirmed the district court's dismissal of Jones' case.</w:t>
      </w:r>
    </w:p>
    <w:p w14:paraId="3187FC20" w14:textId="4292A0FB" w:rsidR="006822A6" w:rsidRDefault="009F6DFD" w:rsidP="006822A6">
      <w:hyperlink r:id="rId7" w:history="1">
        <w:r w:rsidRPr="00C26B90">
          <w:rPr>
            <w:rStyle w:val="Hyperlink"/>
          </w:rPr>
          <w:t>https://cases.justia.com/federal/appellate-courts/cadc/23-5288/23-5288-2025-07-15.pdf</w:t>
        </w:r>
      </w:hyperlink>
      <w:r>
        <w:t xml:space="preserve"> </w:t>
      </w:r>
    </w:p>
    <w:p w14:paraId="3029E3F2" w14:textId="77777777" w:rsidR="009F6DFD" w:rsidRDefault="009F6DFD" w:rsidP="006822A6"/>
    <w:p w14:paraId="058C1569" w14:textId="77777777" w:rsidR="0041726D" w:rsidRDefault="0041726D" w:rsidP="0041726D">
      <w:r>
        <w:t>United States v. Maxwell</w:t>
      </w:r>
    </w:p>
    <w:p w14:paraId="6A1E169D" w14:textId="77777777" w:rsidR="0041726D" w:rsidRDefault="0041726D" w:rsidP="0041726D"/>
    <w:p w14:paraId="1F566B17" w14:textId="77777777" w:rsidR="0041726D" w:rsidRDefault="0041726D" w:rsidP="0041726D">
      <w:r>
        <w:t>Court: U.S. Court of Appeals for the Seventh Circuit</w:t>
      </w:r>
    </w:p>
    <w:p w14:paraId="515713F7" w14:textId="77777777" w:rsidR="0041726D" w:rsidRDefault="0041726D" w:rsidP="0041726D"/>
    <w:p w14:paraId="14A5D6EE" w14:textId="77777777" w:rsidR="0041726D" w:rsidRDefault="0041726D" w:rsidP="0041726D">
      <w:r>
        <w:t>Docket: 23-2910</w:t>
      </w:r>
    </w:p>
    <w:p w14:paraId="39332707" w14:textId="77777777" w:rsidR="0041726D" w:rsidRDefault="0041726D" w:rsidP="0041726D"/>
    <w:p w14:paraId="7A6D04B7" w14:textId="77777777" w:rsidR="0041726D" w:rsidRDefault="0041726D" w:rsidP="0041726D">
      <w:r>
        <w:t>Opinion Date: July 16, 2025</w:t>
      </w:r>
    </w:p>
    <w:p w14:paraId="435AE421" w14:textId="77777777" w:rsidR="0041726D" w:rsidRDefault="0041726D" w:rsidP="0041726D"/>
    <w:p w14:paraId="10EEA560" w14:textId="77777777" w:rsidR="0041726D" w:rsidRDefault="0041726D" w:rsidP="0041726D">
      <w:r>
        <w:t>Judge: Thomas L. Kirsch II</w:t>
      </w:r>
    </w:p>
    <w:p w14:paraId="2E4B101E" w14:textId="77777777" w:rsidR="0041726D" w:rsidRDefault="0041726D" w:rsidP="0041726D"/>
    <w:p w14:paraId="10B62A3D" w14:textId="77777777" w:rsidR="0041726D" w:rsidRDefault="0041726D" w:rsidP="0041726D">
      <w:r>
        <w:t>Areas of Law: Criminal Law</w:t>
      </w:r>
    </w:p>
    <w:p w14:paraId="377F29BF" w14:textId="77777777" w:rsidR="0041726D" w:rsidRDefault="0041726D" w:rsidP="0041726D"/>
    <w:p w14:paraId="24715815" w14:textId="77777777" w:rsidR="0041726D" w:rsidRDefault="0041726D" w:rsidP="0041726D">
      <w:r>
        <w:t xml:space="preserve">Law enforcement conducted a warrant-backed search of an apartment occupied by Tyrone </w:t>
      </w:r>
      <w:proofErr w:type="spellStart"/>
      <w:r>
        <w:t>Fulwiley</w:t>
      </w:r>
      <w:proofErr w:type="spellEnd"/>
      <w:r>
        <w:t xml:space="preserve"> and Deandre Maxwell, uncovering firearms, cocaine, and drug distribution paraphernalia. Maxwell pleaded guilty to charges of possession of cocaine with intent to distribute, possession of a firearm in furtherance of a drug trafficking offense, and possession of a firearm by a felon. </w:t>
      </w:r>
      <w:proofErr w:type="spellStart"/>
      <w:r>
        <w:t>Fulwiley</w:t>
      </w:r>
      <w:proofErr w:type="spellEnd"/>
      <w:r>
        <w:t xml:space="preserve"> went to trial and was convicted on all counts by a jury. Both defendants challenged the search, the denial of a Franks hearing, and the refusal to reveal the identity of the confidential informant. </w:t>
      </w:r>
      <w:proofErr w:type="spellStart"/>
      <w:r>
        <w:t>Fulwiley</w:t>
      </w:r>
      <w:proofErr w:type="spellEnd"/>
      <w:r>
        <w:t xml:space="preserve"> also contested the sufficiency of the evidence supporting his conviction.</w:t>
      </w:r>
    </w:p>
    <w:p w14:paraId="2B4CF359" w14:textId="77777777" w:rsidR="0041726D" w:rsidRDefault="0041726D" w:rsidP="0041726D"/>
    <w:p w14:paraId="42206F61" w14:textId="77777777" w:rsidR="0041726D" w:rsidRDefault="0041726D" w:rsidP="0041726D">
      <w:r>
        <w:t xml:space="preserve">The United States District Court for the Central District of Illinois denied the defendants' motions to suppress evidence, for a Franks hearing, and to reveal the informant's identity. </w:t>
      </w:r>
      <w:proofErr w:type="spellStart"/>
      <w:r>
        <w:t>Fulwiley's</w:t>
      </w:r>
      <w:proofErr w:type="spellEnd"/>
      <w:r>
        <w:t xml:space="preserve"> motion for a judgment of acquittal was also denied. Maxwell pleaded guilty, while </w:t>
      </w:r>
      <w:proofErr w:type="spellStart"/>
      <w:r>
        <w:t>Fulwiley</w:t>
      </w:r>
      <w:proofErr w:type="spellEnd"/>
      <w:r>
        <w:t xml:space="preserve"> was convicted by a jury based on evidence including testimony from law enforcement and a forensic expert linking him to the drugs and firearms found in the apartment.</w:t>
      </w:r>
    </w:p>
    <w:p w14:paraId="715DB21A" w14:textId="77777777" w:rsidR="0041726D" w:rsidRDefault="0041726D" w:rsidP="0041726D"/>
    <w:p w14:paraId="5DFAE21D" w14:textId="328695CB" w:rsidR="009F6DFD" w:rsidRDefault="0041726D" w:rsidP="0041726D">
      <w:r>
        <w:t xml:space="preserve">The United States Court of Appeals for the Seventh Circuit reviewed the case and affirmed the district court's decisions. The appellate court held that the search warrant was supported by probable cause, given the detailed and corroborated information provided by the confidential informant. The court also found no error in the denial of a Franks hearing, as the defendants failed to make a substantial preliminary showing of a material falsity or omission in the warrant affidavit. Additionally, the court upheld the decision not to reveal the informant's identity, as the informant was deemed a mere tipster and not essential to the defense. Finally, the court found sufficient evidence to support </w:t>
      </w:r>
      <w:proofErr w:type="spellStart"/>
      <w:r>
        <w:t>Fulwiley's</w:t>
      </w:r>
      <w:proofErr w:type="spellEnd"/>
      <w:r>
        <w:t xml:space="preserve"> convictions, including his constructive possession of the drugs and firearms and the nexus between the firearms and drug trafficking activities.</w:t>
      </w:r>
    </w:p>
    <w:p w14:paraId="7E8CABAE" w14:textId="1910A43F" w:rsidR="0041726D" w:rsidRDefault="0041726D" w:rsidP="0041726D">
      <w:hyperlink r:id="rId8" w:history="1">
        <w:r w:rsidRPr="00C26B90">
          <w:rPr>
            <w:rStyle w:val="Hyperlink"/>
          </w:rPr>
          <w:t>https://cases.justia.com/federal/appellate-courts/ca7/23-2910/23-2910-2025-07-16.pdf</w:t>
        </w:r>
      </w:hyperlink>
      <w:r>
        <w:t xml:space="preserve"> </w:t>
      </w:r>
    </w:p>
    <w:p w14:paraId="0D587C2D" w14:textId="77777777" w:rsidR="0041726D" w:rsidRDefault="0041726D" w:rsidP="0041726D"/>
    <w:p w14:paraId="28E4D859" w14:textId="77777777" w:rsidR="0041726D" w:rsidRDefault="0041726D" w:rsidP="0041726D"/>
    <w:p w14:paraId="25400EA4" w14:textId="77777777" w:rsidR="006822A6" w:rsidRDefault="006822A6" w:rsidP="006822A6"/>
    <w:p w14:paraId="7313C0D1" w14:textId="77777777" w:rsidR="00773E82" w:rsidRDefault="00773E82" w:rsidP="00F55149"/>
    <w:p w14:paraId="3D0C7426" w14:textId="77777777" w:rsidR="00773E82" w:rsidRDefault="00773E82" w:rsidP="00F55149"/>
    <w:sectPr w:rsidR="00773E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D7D"/>
    <w:rsid w:val="00001D7D"/>
    <w:rsid w:val="0041726D"/>
    <w:rsid w:val="006822A6"/>
    <w:rsid w:val="00773E82"/>
    <w:rsid w:val="00993A99"/>
    <w:rsid w:val="009F6DFD"/>
    <w:rsid w:val="00F55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52DA5"/>
  <w15:chartTrackingRefBased/>
  <w15:docId w15:val="{ADD2B796-F2B4-4598-845B-5534AA36F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D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1D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1D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1D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1D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1D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D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D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D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D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1D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1D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1D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1D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1D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D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D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D7D"/>
    <w:rPr>
      <w:rFonts w:eastAsiaTheme="majorEastAsia" w:cstheme="majorBidi"/>
      <w:color w:val="272727" w:themeColor="text1" w:themeTint="D8"/>
    </w:rPr>
  </w:style>
  <w:style w:type="paragraph" w:styleId="Title">
    <w:name w:val="Title"/>
    <w:basedOn w:val="Normal"/>
    <w:next w:val="Normal"/>
    <w:link w:val="TitleChar"/>
    <w:uiPriority w:val="10"/>
    <w:qFormat/>
    <w:rsid w:val="00001D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D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D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D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D7D"/>
    <w:pPr>
      <w:spacing w:before="160"/>
      <w:jc w:val="center"/>
    </w:pPr>
    <w:rPr>
      <w:i/>
      <w:iCs/>
      <w:color w:val="404040" w:themeColor="text1" w:themeTint="BF"/>
    </w:rPr>
  </w:style>
  <w:style w:type="character" w:customStyle="1" w:styleId="QuoteChar">
    <w:name w:val="Quote Char"/>
    <w:basedOn w:val="DefaultParagraphFont"/>
    <w:link w:val="Quote"/>
    <w:uiPriority w:val="29"/>
    <w:rsid w:val="00001D7D"/>
    <w:rPr>
      <w:i/>
      <w:iCs/>
      <w:color w:val="404040" w:themeColor="text1" w:themeTint="BF"/>
    </w:rPr>
  </w:style>
  <w:style w:type="paragraph" w:styleId="ListParagraph">
    <w:name w:val="List Paragraph"/>
    <w:basedOn w:val="Normal"/>
    <w:uiPriority w:val="34"/>
    <w:qFormat/>
    <w:rsid w:val="00001D7D"/>
    <w:pPr>
      <w:ind w:left="720"/>
      <w:contextualSpacing/>
    </w:pPr>
  </w:style>
  <w:style w:type="character" w:styleId="IntenseEmphasis">
    <w:name w:val="Intense Emphasis"/>
    <w:basedOn w:val="DefaultParagraphFont"/>
    <w:uiPriority w:val="21"/>
    <w:qFormat/>
    <w:rsid w:val="00001D7D"/>
    <w:rPr>
      <w:i/>
      <w:iCs/>
      <w:color w:val="0F4761" w:themeColor="accent1" w:themeShade="BF"/>
    </w:rPr>
  </w:style>
  <w:style w:type="paragraph" w:styleId="IntenseQuote">
    <w:name w:val="Intense Quote"/>
    <w:basedOn w:val="Normal"/>
    <w:next w:val="Normal"/>
    <w:link w:val="IntenseQuoteChar"/>
    <w:uiPriority w:val="30"/>
    <w:qFormat/>
    <w:rsid w:val="00001D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1D7D"/>
    <w:rPr>
      <w:i/>
      <w:iCs/>
      <w:color w:val="0F4761" w:themeColor="accent1" w:themeShade="BF"/>
    </w:rPr>
  </w:style>
  <w:style w:type="character" w:styleId="IntenseReference">
    <w:name w:val="Intense Reference"/>
    <w:basedOn w:val="DefaultParagraphFont"/>
    <w:uiPriority w:val="32"/>
    <w:qFormat/>
    <w:rsid w:val="00001D7D"/>
    <w:rPr>
      <w:b/>
      <w:bCs/>
      <w:smallCaps/>
      <w:color w:val="0F4761" w:themeColor="accent1" w:themeShade="BF"/>
      <w:spacing w:val="5"/>
    </w:rPr>
  </w:style>
  <w:style w:type="character" w:styleId="Hyperlink">
    <w:name w:val="Hyperlink"/>
    <w:basedOn w:val="DefaultParagraphFont"/>
    <w:uiPriority w:val="99"/>
    <w:unhideWhenUsed/>
    <w:rsid w:val="00F55149"/>
    <w:rPr>
      <w:color w:val="467886" w:themeColor="hyperlink"/>
      <w:u w:val="single"/>
    </w:rPr>
  </w:style>
  <w:style w:type="character" w:styleId="UnresolvedMention">
    <w:name w:val="Unresolved Mention"/>
    <w:basedOn w:val="DefaultParagraphFont"/>
    <w:uiPriority w:val="99"/>
    <w:semiHidden/>
    <w:unhideWhenUsed/>
    <w:rsid w:val="00F551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ses.justia.com/federal/appellate-courts/ca7/23-2910/23-2910-2025-07-16.pdf" TargetMode="External"/><Relationship Id="rId3" Type="http://schemas.openxmlformats.org/officeDocument/2006/relationships/webSettings" Target="webSettings.xml"/><Relationship Id="rId7" Type="http://schemas.openxmlformats.org/officeDocument/2006/relationships/hyperlink" Target="https://cases.justia.com/federal/appellate-courts/cadc/23-5288/23-5288-2025-07-15.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ases.justia.com/federal/appellate-courts/ca11/23-11114/23-11114-2025-07-11.pdf" TargetMode="External"/><Relationship Id="rId5" Type="http://schemas.openxmlformats.org/officeDocument/2006/relationships/hyperlink" Target="https://cases.justia.com/federal/appellate-courts/ca7/24-1522/24-1522-2025-07-17.pdf" TargetMode="External"/><Relationship Id="rId10" Type="http://schemas.openxmlformats.org/officeDocument/2006/relationships/theme" Target="theme/theme1.xml"/><Relationship Id="rId4" Type="http://schemas.openxmlformats.org/officeDocument/2006/relationships/hyperlink" Target="https://cases.justia.com/federal/appellate-courts/ca5/24-10663/24-10663-2025-07-10.pdf"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7</Pages>
  <Words>1638</Words>
  <Characters>9337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Barnard, Bruce-Alan</dc:creator>
  <cp:keywords/>
  <dc:description/>
  <cp:lastModifiedBy>Barnard, Bruce-Alan</cp:lastModifiedBy>
  <cp:revision>3</cp:revision>
  <dcterms:created xsi:type="dcterms:W3CDTF">2025-07-18T14:38:00Z</dcterms:created>
  <dcterms:modified xsi:type="dcterms:W3CDTF">2025-07-18T15:18:00Z</dcterms:modified>
</cp:coreProperties>
</file>