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6854A" w14:textId="7433B2C9" w:rsidR="00DF4922" w:rsidRDefault="000A07B9">
      <w:r>
        <w:t>BF36 5 SEP 2025 CASES</w:t>
      </w:r>
    </w:p>
    <w:p w14:paraId="114CB038" w14:textId="77777777" w:rsidR="000A07B9" w:rsidRDefault="000A07B9"/>
    <w:p w14:paraId="2AA3FBDB" w14:textId="77777777" w:rsidR="000A07B9" w:rsidRPr="000A07B9" w:rsidRDefault="000A07B9" w:rsidP="000A07B9">
      <w:pPr>
        <w:rPr>
          <w:b/>
          <w:bCs/>
        </w:rPr>
      </w:pPr>
      <w:r w:rsidRPr="000A07B9">
        <w:rPr>
          <w:b/>
          <w:bCs/>
        </w:rPr>
        <w:t>United States v. Scott</w:t>
      </w:r>
    </w:p>
    <w:p w14:paraId="1297478E" w14:textId="1DBF4995" w:rsidR="000A07B9" w:rsidRDefault="000A07B9" w:rsidP="000A07B9">
      <w:r>
        <w:t>U.S. Court of Appeals for the Seventh Circuit</w:t>
      </w:r>
    </w:p>
    <w:p w14:paraId="46DA7772" w14:textId="7955E2EB" w:rsidR="000A07B9" w:rsidRDefault="000A07B9" w:rsidP="000A07B9">
      <w:r>
        <w:t>24-1903</w:t>
      </w:r>
    </w:p>
    <w:p w14:paraId="195D221A" w14:textId="7A71E411" w:rsidR="000A07B9" w:rsidRDefault="000A07B9" w:rsidP="000A07B9">
      <w:r>
        <w:t>September 2, 2025</w:t>
      </w:r>
    </w:p>
    <w:p w14:paraId="24F1F120" w14:textId="77777777" w:rsidR="000A07B9" w:rsidRDefault="000A07B9" w:rsidP="000A07B9"/>
    <w:p w14:paraId="0E0BD56C" w14:textId="17BA416C" w:rsidR="000A07B9" w:rsidRPr="000A07B9" w:rsidRDefault="000A07B9" w:rsidP="000A07B9">
      <w:pPr>
        <w:rPr>
          <w:i/>
          <w:iCs/>
        </w:rPr>
      </w:pPr>
      <w:r w:rsidRPr="000A07B9">
        <w:rPr>
          <w:i/>
          <w:iCs/>
        </w:rPr>
        <w:t>Summary: No reasonable expectation of privacy in an unlocked out-of-order bathroom.</w:t>
      </w:r>
    </w:p>
    <w:p w14:paraId="77074475" w14:textId="77777777" w:rsidR="000A07B9" w:rsidRDefault="000A07B9" w:rsidP="000A07B9"/>
    <w:p w14:paraId="6CDA2D7E" w14:textId="77777777" w:rsidR="000A07B9" w:rsidRDefault="000A07B9" w:rsidP="000A07B9">
      <w:r>
        <w:t>The case concerns a defendant who was arrested at a gas station mini-mart after officers, investigating an earlier robbery, observed him enter a single-occupancy restroom marked “Out of Order.” The defendant did not lock the door. Officers entered the restroom shortly after and found him standing on the handicap bars, reaching into the ceiling. A firearm was recovered from the ceiling area, and a subsequent search of the defendant revealed cash and various controlled substances. The government conceded that the officers lacked probable cause or reasonable suspicion to believe the defendant had committed a crime at the time they entered the restroom.</w:t>
      </w:r>
    </w:p>
    <w:p w14:paraId="091037AF" w14:textId="77777777" w:rsidR="000A07B9" w:rsidRDefault="000A07B9" w:rsidP="000A07B9"/>
    <w:p w14:paraId="4E34E042" w14:textId="77777777" w:rsidR="000A07B9" w:rsidRDefault="000A07B9" w:rsidP="000A07B9">
      <w:r>
        <w:t>The United States District Court for the Northern District of Illinois, Eastern Division, denied the defendant’s motion to suppress the evidence, finding he lacked a reasonable expectation of privacy in the out-of-order restroom. The court also found sufficient evidence to convict him of unlawful possession of a firearm by a felon and possession with intent to distribute a controlled substance following a bench trial. The defendant appealed, challenging the denial of the suppression motion, the sufficiency of the evidence for the firearm conviction, and sought to preserve a constitutional challenge to 18 U.S.C. § 922(g).</w:t>
      </w:r>
    </w:p>
    <w:p w14:paraId="5D8C19D8" w14:textId="77777777" w:rsidR="000A07B9" w:rsidRDefault="000A07B9" w:rsidP="000A07B9"/>
    <w:p w14:paraId="17294C2B" w14:textId="62C85373" w:rsidR="000A07B9" w:rsidRDefault="000A07B9" w:rsidP="000A07B9">
      <w:r>
        <w:t>The United States Court of Appeals for the Seventh Circuit affirmed the district court’s decision. The appellate court held that the defendant did not have a subjective or objectively reasonable expectation of privacy in the unlocked, out-of-order restroom, so the officers’ entry did not constitute a search under the Fourth Amendment. The court also found that sufficient evidence supported the conviction for unlawful possession of a firearm by a felon, based on constructive possession. Finally, the court held that the defendant waived his constitutional challenge to § 922(g) by failing to present any legal argument on appeal.</w:t>
      </w:r>
    </w:p>
    <w:p w14:paraId="5FDC8141" w14:textId="77777777" w:rsidR="000A07B9" w:rsidRDefault="000A07B9" w:rsidP="000A07B9"/>
    <w:p w14:paraId="1D2C4005" w14:textId="6189E808" w:rsidR="000A07B9" w:rsidRDefault="000A07B9" w:rsidP="000A07B9">
      <w:hyperlink r:id="rId4" w:history="1">
        <w:r w:rsidRPr="00D043C5">
          <w:rPr>
            <w:rStyle w:val="Hyperlink"/>
          </w:rPr>
          <w:t>https://cases.justia.com/federal/appellate-courts/ca7/24-1903/24-1903-2025-09-02.pdf</w:t>
        </w:r>
      </w:hyperlink>
    </w:p>
    <w:p w14:paraId="554A69FD" w14:textId="77777777" w:rsidR="000A07B9" w:rsidRDefault="000A07B9" w:rsidP="000A07B9"/>
    <w:p w14:paraId="044741CB" w14:textId="77777777" w:rsidR="000A07B9" w:rsidRDefault="000A07B9" w:rsidP="000A07B9"/>
    <w:p w14:paraId="098A1AA8" w14:textId="77777777" w:rsidR="000A07B9" w:rsidRPr="000A07B9" w:rsidRDefault="000A07B9" w:rsidP="000A07B9">
      <w:pPr>
        <w:rPr>
          <w:b/>
          <w:bCs/>
        </w:rPr>
      </w:pPr>
      <w:r w:rsidRPr="000A07B9">
        <w:rPr>
          <w:b/>
          <w:bCs/>
        </w:rPr>
        <w:t>United States v. Blasdel</w:t>
      </w:r>
    </w:p>
    <w:p w14:paraId="6E30A900" w14:textId="18581DEF" w:rsidR="000A07B9" w:rsidRDefault="000A07B9" w:rsidP="000A07B9">
      <w:r>
        <w:t>U.S. Court of Appeals for the Tenth Circuit</w:t>
      </w:r>
    </w:p>
    <w:p w14:paraId="64EF8BD3" w14:textId="480C07FC" w:rsidR="000A07B9" w:rsidRDefault="000A07B9" w:rsidP="000A07B9">
      <w:r>
        <w:t>24-5071</w:t>
      </w:r>
    </w:p>
    <w:p w14:paraId="669EA258" w14:textId="1AA56232" w:rsidR="000A07B9" w:rsidRDefault="000A07B9" w:rsidP="000A07B9">
      <w:r>
        <w:t>September 2, 2025</w:t>
      </w:r>
    </w:p>
    <w:p w14:paraId="6EC6F184" w14:textId="77777777" w:rsidR="000A07B9" w:rsidRDefault="000A07B9" w:rsidP="000A07B9"/>
    <w:p w14:paraId="35369B9F" w14:textId="7D76F6A9" w:rsidR="000A07B9" w:rsidRPr="000A07B9" w:rsidRDefault="000A07B9" w:rsidP="000A07B9">
      <w:pPr>
        <w:rPr>
          <w:i/>
          <w:iCs/>
        </w:rPr>
      </w:pPr>
      <w:r w:rsidRPr="000A07B9">
        <w:rPr>
          <w:i/>
          <w:iCs/>
        </w:rPr>
        <w:t xml:space="preserve">Summary: Unlawfully obtained information removed from </w:t>
      </w:r>
      <w:r>
        <w:rPr>
          <w:i/>
          <w:iCs/>
        </w:rPr>
        <w:t xml:space="preserve">the search warrant application resulted in no probable cause, and the </w:t>
      </w:r>
      <w:r w:rsidRPr="000A07B9">
        <w:rPr>
          <w:i/>
          <w:iCs/>
        </w:rPr>
        <w:t>good faith exception did not apply.</w:t>
      </w:r>
    </w:p>
    <w:p w14:paraId="0AFCF21D" w14:textId="77777777" w:rsidR="000A07B9" w:rsidRDefault="000A07B9" w:rsidP="000A07B9"/>
    <w:p w14:paraId="24E103BA" w14:textId="71371576" w:rsidR="000A07B9" w:rsidRDefault="000A07B9" w:rsidP="000A07B9">
      <w:r>
        <w:t xml:space="preserve">Police officers in Oklahoma conducted a warrantless search of a storage unit rented by an individual whose email and payment information were </w:t>
      </w:r>
      <w:r>
        <w:t>listed on the rental agreement, although another person had signed the agreement</w:t>
      </w:r>
      <w:r>
        <w:t xml:space="preserve">. Employees of the storage facility initially entered the unit after finding its door ajar, observing what appeared to be drugs and firearms, and then notified </w:t>
      </w:r>
      <w:r>
        <w:lastRenderedPageBreak/>
        <w:t xml:space="preserve">police. Upon arrival, officers </w:t>
      </w:r>
      <w:proofErr w:type="gramStart"/>
      <w:r>
        <w:t>looked into</w:t>
      </w:r>
      <w:proofErr w:type="gramEnd"/>
      <w:r>
        <w:t xml:space="preserve"> the unit, with one officer peeking his head inside to observe suspected contraband, and another officer later </w:t>
      </w:r>
      <w:r>
        <w:t>entered the unit and opened</w:t>
      </w:r>
      <w:r>
        <w:t xml:space="preserve"> a drawer before a warrant was obtained. The officers then used their observations to obtain a search warrant for the storage unit, which led to the discovery of drugs and firearms. Based on this evidence, they secured a second warrant to search the renter’s home, where additional contraband was found.</w:t>
      </w:r>
    </w:p>
    <w:p w14:paraId="6758AB18" w14:textId="77777777" w:rsidR="000A07B9" w:rsidRDefault="000A07B9" w:rsidP="000A07B9"/>
    <w:p w14:paraId="4FA89E38" w14:textId="77777777" w:rsidR="000A07B9" w:rsidRDefault="000A07B9" w:rsidP="000A07B9">
      <w:r>
        <w:t>The United States District Court for the Northern District of Oklahoma denied the defendant’s motion to suppress evidence from both searches, finding no Fourth Amendment violation in the officers’ actions. The defendant entered a conditional guilty plea to drug and firearm charges, reserving the right to appeal the suppression ruling, and was sentenced to 188 months in prison.</w:t>
      </w:r>
    </w:p>
    <w:p w14:paraId="12CAB6C5" w14:textId="77777777" w:rsidR="000A07B9" w:rsidRDefault="000A07B9" w:rsidP="000A07B9"/>
    <w:p w14:paraId="562EE089" w14:textId="22410472" w:rsidR="000A07B9" w:rsidRDefault="000A07B9" w:rsidP="000A07B9">
      <w:r>
        <w:t xml:space="preserve">The United States Court of Appeals for the Tenth Circuit reviewed the case. It held that the officers’ warrantless entry and search of the storage unit violated the Fourth Amendment. The court determined that, after excising the unconstitutionally obtained information from the search warrant affidavit, the remaining content failed to establish probable cause. The court also found that the </w:t>
      </w:r>
      <w:r>
        <w:t>good-faith</w:t>
      </w:r>
      <w:r>
        <w:t xml:space="preserve"> exception did not apply because the affidavit was so facially deficient that officers could not reasonably rely on it. Consequently, the evidence from both the storage unit and the home was ordered suppressed. The Tenth Circuit reversed the district court’s denial of the suppression motion, vacated the conviction and sentence, and remanded for further proceedings.</w:t>
      </w:r>
    </w:p>
    <w:p w14:paraId="0A4CD667" w14:textId="77777777" w:rsidR="000A07B9" w:rsidRDefault="000A07B9" w:rsidP="000A07B9"/>
    <w:p w14:paraId="1AD12DDC" w14:textId="51923B2E" w:rsidR="000A07B9" w:rsidRDefault="000A07B9" w:rsidP="000A07B9">
      <w:hyperlink r:id="rId5" w:history="1">
        <w:r w:rsidRPr="00D043C5">
          <w:rPr>
            <w:rStyle w:val="Hyperlink"/>
          </w:rPr>
          <w:t>https://cases.justia.com/federal/appellate-courts/ca10/24-5071/24-5071-2025-09-02.pdf</w:t>
        </w:r>
      </w:hyperlink>
    </w:p>
    <w:p w14:paraId="06A53703" w14:textId="77777777" w:rsidR="000A07B9" w:rsidRDefault="000A07B9" w:rsidP="000A07B9"/>
    <w:p w14:paraId="68624F0D" w14:textId="77777777" w:rsidR="000A07B9" w:rsidRDefault="000A07B9" w:rsidP="000A07B9"/>
    <w:p w14:paraId="151823B9" w14:textId="77777777" w:rsidR="00D57645" w:rsidRPr="00D57645" w:rsidRDefault="00D57645" w:rsidP="00D57645">
      <w:pPr>
        <w:rPr>
          <w:b/>
          <w:bCs/>
        </w:rPr>
      </w:pPr>
      <w:r w:rsidRPr="00D57645">
        <w:rPr>
          <w:b/>
          <w:bCs/>
        </w:rPr>
        <w:t>Prospero v. Sullivan</w:t>
      </w:r>
    </w:p>
    <w:p w14:paraId="777AC450" w14:textId="14284415" w:rsidR="00D57645" w:rsidRDefault="00D57645" w:rsidP="00D57645">
      <w:r>
        <w:t>U.S. Court of Appeals for the Eleventh Circuit</w:t>
      </w:r>
    </w:p>
    <w:p w14:paraId="5521A2D9" w14:textId="6216D0B4" w:rsidR="00D57645" w:rsidRDefault="00D57645" w:rsidP="00D57645">
      <w:r>
        <w:t>24-10086</w:t>
      </w:r>
    </w:p>
    <w:p w14:paraId="4238BD67" w14:textId="6C356C43" w:rsidR="00D57645" w:rsidRDefault="00D57645" w:rsidP="00D57645">
      <w:r>
        <w:t>September 4, 2025</w:t>
      </w:r>
    </w:p>
    <w:p w14:paraId="15C70212" w14:textId="77777777" w:rsidR="00D57645" w:rsidRDefault="00D57645" w:rsidP="00D57645"/>
    <w:p w14:paraId="75C01735" w14:textId="4DC55F9B" w:rsidR="00D57645" w:rsidRPr="00D57645" w:rsidRDefault="00D57645" w:rsidP="00D57645">
      <w:pPr>
        <w:rPr>
          <w:i/>
          <w:iCs/>
        </w:rPr>
      </w:pPr>
      <w:r w:rsidRPr="00D57645">
        <w:rPr>
          <w:i/>
          <w:iCs/>
        </w:rPr>
        <w:t>Summary:  Under the Collective Knowledge Doctrine, officers had arguable probable cause to seek the plaintiff’s arrest and, therefore, were entitled to qualified immunity.</w:t>
      </w:r>
    </w:p>
    <w:p w14:paraId="030A2771" w14:textId="77777777" w:rsidR="00D57645" w:rsidRDefault="00D57645" w:rsidP="00D57645"/>
    <w:p w14:paraId="3797D95E" w14:textId="77777777" w:rsidR="00D57645" w:rsidRDefault="00D57645" w:rsidP="00D57645">
      <w:r>
        <w:t>A woman who had a long history of calling her local sheriff’s office—often to complain about gunfire she believed was coming from private property near her home—called both the non-emergency number and 911 on Thanksgiving Day 2018 to report gunshots. Dispatchers informed her that deputies had previously investigated and determined the gunfire was lawful and that no further response would be made. Despite these explanations, she persisted, escalating her complaint to a 911 call. She declined offers to speak with deputies and refused contact when a deputy came to her home. Based on her repeated calls and refusal to accept the dispatchers’ explanations, two sheriff’s office employees initiated an investigation and swore out an affidavit for her arrest under a Georgia statute prohibiting disruptive or harassing conduct during 911 calls. The local district attorney later dismissed the charge.</w:t>
      </w:r>
    </w:p>
    <w:p w14:paraId="577AB148" w14:textId="77777777" w:rsidR="00D57645" w:rsidRDefault="00D57645" w:rsidP="00D57645"/>
    <w:p w14:paraId="18F0089A" w14:textId="77777777" w:rsidR="00D57645" w:rsidRDefault="00D57645" w:rsidP="00D57645">
      <w:r>
        <w:t>The woman then filed a civil suit in the United States District Court for the Southern District of Georgia, alleging violations of her First and Fourth Amendment rights, including claims of retaliatory arrest and malicious prosecution. The district court denied qualified immunity to the two officers on the First Amendment retaliation and malicious prosecution claims, finding genuine disputes of material fact regarding probable cause and the officers’ conduct in seeking the arrest warrant.</w:t>
      </w:r>
    </w:p>
    <w:p w14:paraId="4B86AF92" w14:textId="77777777" w:rsidR="00D57645" w:rsidRDefault="00D57645" w:rsidP="00D57645"/>
    <w:p w14:paraId="5239E6D6" w14:textId="090A53A7" w:rsidR="000A07B9" w:rsidRDefault="00D57645" w:rsidP="00D57645">
      <w:r>
        <w:lastRenderedPageBreak/>
        <w:t>On appeal, the United States Court of Appeals for the Eleventh Circuit considered whether the officers were entitled to qualified immunity. The court held that the officers were entitled to rely on the collective knowledge of the sheriff’s office dispatchers, who were aware of the plaintiff’s history of similar calls and the lawful nature of the gunfire. The court concluded that, given this collective knowledge, the officers had at least arguable probable cause to seek the plaintiff’s arrest under the relevant Georgia statute. As a result, the Eleventh Circuit reversed the district court’s denial of qualified immunity.</w:t>
      </w:r>
    </w:p>
    <w:p w14:paraId="101B1DF7" w14:textId="77777777" w:rsidR="000A07B9" w:rsidRDefault="000A07B9" w:rsidP="000A07B9"/>
    <w:p w14:paraId="4252C72D" w14:textId="1504C858" w:rsidR="000A07B9" w:rsidRDefault="00EF644F" w:rsidP="000A07B9">
      <w:hyperlink r:id="rId6" w:history="1">
        <w:r w:rsidRPr="00D043C5">
          <w:rPr>
            <w:rStyle w:val="Hyperlink"/>
          </w:rPr>
          <w:t>https://cases.justia.com/federal/appellate-courts/ca11/24-10086/24-10086-2025-09-04.pdf</w:t>
        </w:r>
      </w:hyperlink>
    </w:p>
    <w:p w14:paraId="13ABF7D1" w14:textId="77777777" w:rsidR="00EF644F" w:rsidRDefault="00EF644F" w:rsidP="000A07B9"/>
    <w:p w14:paraId="0A80F306" w14:textId="77777777" w:rsidR="00EF644F" w:rsidRDefault="00EF644F" w:rsidP="000A07B9"/>
    <w:p w14:paraId="4A3D558B" w14:textId="77777777" w:rsidR="00EF644F" w:rsidRPr="00EF644F" w:rsidRDefault="00EF644F" w:rsidP="00EF644F">
      <w:pPr>
        <w:rPr>
          <w:b/>
          <w:bCs/>
        </w:rPr>
      </w:pPr>
      <w:r w:rsidRPr="00EF644F">
        <w:rPr>
          <w:b/>
          <w:bCs/>
        </w:rPr>
        <w:t>United States v. Scott</w:t>
      </w:r>
    </w:p>
    <w:p w14:paraId="7229D263" w14:textId="693B506D" w:rsidR="00EF644F" w:rsidRDefault="00EF644F" w:rsidP="00EF644F">
      <w:r>
        <w:t>U.S. Court of Appeals for the District of Columbia Circuit</w:t>
      </w:r>
    </w:p>
    <w:p w14:paraId="450AD7DB" w14:textId="1F05A19C" w:rsidR="00EF644F" w:rsidRDefault="00EF644F" w:rsidP="00EF644F">
      <w:r>
        <w:t>24-3036</w:t>
      </w:r>
    </w:p>
    <w:p w14:paraId="61B7A433" w14:textId="523EB778" w:rsidR="00EF644F" w:rsidRDefault="00EF644F" w:rsidP="00EF644F">
      <w:r>
        <w:t>August 29, 2025</w:t>
      </w:r>
    </w:p>
    <w:p w14:paraId="5D231B22" w14:textId="77777777" w:rsidR="00EF644F" w:rsidRDefault="00EF644F" w:rsidP="00EF644F"/>
    <w:p w14:paraId="1B90AF2A" w14:textId="53D7223A" w:rsidR="00EF644F" w:rsidRPr="00EF644F" w:rsidRDefault="00EF644F" w:rsidP="00EF644F">
      <w:pPr>
        <w:rPr>
          <w:i/>
          <w:iCs/>
        </w:rPr>
      </w:pPr>
      <w:r w:rsidRPr="00EF644F">
        <w:rPr>
          <w:i/>
          <w:iCs/>
        </w:rPr>
        <w:t xml:space="preserve">Summary: The Search warrant was supported by probable cause </w:t>
      </w:r>
      <w:proofErr w:type="gramStart"/>
      <w:r w:rsidRPr="00EF644F">
        <w:rPr>
          <w:i/>
          <w:iCs/>
        </w:rPr>
        <w:t>and also</w:t>
      </w:r>
      <w:proofErr w:type="gramEnd"/>
      <w:r w:rsidRPr="00EF644F">
        <w:rPr>
          <w:i/>
          <w:iCs/>
        </w:rPr>
        <w:t xml:space="preserve"> consent, and the defendant was not in custody for Miranda purposes.</w:t>
      </w:r>
    </w:p>
    <w:p w14:paraId="189C8D9D" w14:textId="77777777" w:rsidR="00EF644F" w:rsidRDefault="00EF644F" w:rsidP="00EF644F"/>
    <w:p w14:paraId="48F19215" w14:textId="77777777" w:rsidR="00EF644F" w:rsidRDefault="00EF644F" w:rsidP="00EF644F">
      <w:r>
        <w:t>Rowena Joyce Scott served as both the president of the board and general manager of Park Southern Neighborhood Corporation (PSNC), a nonprofit that owned a large apartment building in Washington, D.C. During her tenure, Scott exercised near-total control over PSNC’s finances and operations. She used corporate funds for personal expenses, including luxury items and services, and made significant cash withdrawals from PSNC’s accounts. After PSNC defaulted on a loan, the District of Columbia’s Department of Housing and Community Development intervened, replacing Scott and the board with a new property manager, Vesta Management Corporation, which took possession of PSNC’s records and computers. Subsequent investigation by the IRS led to Scott’s indictment for wire fraud, credit card fraud, and tax offenses.</w:t>
      </w:r>
    </w:p>
    <w:p w14:paraId="767E057E" w14:textId="77777777" w:rsidR="00EF644F" w:rsidRDefault="00EF644F" w:rsidP="00EF644F"/>
    <w:p w14:paraId="5BA5B91E" w14:textId="77777777" w:rsidR="00EF644F" w:rsidRDefault="00EF644F" w:rsidP="00EF644F">
      <w:r>
        <w:t>The United States District Court for the District of Columbia presided over Scott’s criminal trial. Scott filed pre-trial motions to suppress statements made to law enforcement and evidence obtained from PSNC’s computers, arguing violations of her Fifth and Fourth Amendment rights. The district court denied both motions. After trial, a jury convicted Scott on all counts, and the district court sentenced her to eighteen months’ imprisonment, supervised release, restitution, and a special assessment. Scott appealed her convictions, challenging the sufficiency of the evidence and the denial of her suppression motions.</w:t>
      </w:r>
    </w:p>
    <w:p w14:paraId="7FBBA7F5" w14:textId="77777777" w:rsidR="00EF644F" w:rsidRDefault="00EF644F" w:rsidP="00EF644F"/>
    <w:p w14:paraId="31EB704B" w14:textId="4FEA92B9" w:rsidR="00EF644F" w:rsidRDefault="00EF644F" w:rsidP="00EF644F">
      <w:r>
        <w:t xml:space="preserve">The United States Court of Appeals for the District of Columbia Circuit reviewed the case. The court held that Scott forfeited her statute of limitations defense by </w:t>
      </w:r>
      <w:r>
        <w:t>failing to raise</w:t>
      </w:r>
      <w:r>
        <w:t xml:space="preserve"> it in the district court. It found the evidence sufficient to support all convictions, including wire fraud and tax offenses, and determined that Scott was not in Miranda custody during her interview with IRS agents. The court also concluded that the search warrant for PSNC’s computers was supported by probable cause and that Vesta’s consent validated the search. The court affirmed the district court’s judgment in all respects.</w:t>
      </w:r>
    </w:p>
    <w:p w14:paraId="01300B2F" w14:textId="77777777" w:rsidR="000A07B9" w:rsidRDefault="000A07B9" w:rsidP="000A07B9"/>
    <w:p w14:paraId="5BE7AC42" w14:textId="40689EA9" w:rsidR="00EF644F" w:rsidRDefault="00EF644F" w:rsidP="000A07B9">
      <w:hyperlink r:id="rId7" w:history="1">
        <w:r w:rsidRPr="00D043C5">
          <w:rPr>
            <w:rStyle w:val="Hyperlink"/>
          </w:rPr>
          <w:t>https://cases.justia.com/federal/appellate-courts/cadc/24-3036/24-3036-2025-08-29.pdf</w:t>
        </w:r>
      </w:hyperlink>
    </w:p>
    <w:p w14:paraId="678D4EA9" w14:textId="77777777" w:rsidR="00EF644F" w:rsidRDefault="00EF644F" w:rsidP="000A07B9"/>
    <w:p w14:paraId="53E718F5" w14:textId="77777777" w:rsidR="00EF644F" w:rsidRDefault="00EF644F" w:rsidP="000A07B9"/>
    <w:p w14:paraId="33A1C77F" w14:textId="77777777" w:rsidR="00EF644F" w:rsidRDefault="00EF644F" w:rsidP="00EF644F">
      <w:r>
        <w:lastRenderedPageBreak/>
        <w:t>In re E.A.</w:t>
      </w:r>
    </w:p>
    <w:p w14:paraId="20FE2872" w14:textId="060E7858" w:rsidR="00EF644F" w:rsidRDefault="00EF644F" w:rsidP="00EF644F">
      <w:r>
        <w:t>District of Columbia Court of Appeals</w:t>
      </w:r>
    </w:p>
    <w:p w14:paraId="362F8876" w14:textId="48B582AF" w:rsidR="00EF644F" w:rsidRDefault="00EF644F" w:rsidP="00EF644F">
      <w:r>
        <w:t>September 4, 2025</w:t>
      </w:r>
    </w:p>
    <w:p w14:paraId="5892E1B8" w14:textId="77777777" w:rsidR="00EF644F" w:rsidRDefault="00EF644F" w:rsidP="00EF644F"/>
    <w:p w14:paraId="4A9B63AB" w14:textId="77AEFF42" w:rsidR="00EF644F" w:rsidRPr="00EF644F" w:rsidRDefault="00EF644F" w:rsidP="00EF644F">
      <w:pPr>
        <w:rPr>
          <w:i/>
          <w:iCs/>
        </w:rPr>
      </w:pPr>
      <w:r w:rsidRPr="00EF644F">
        <w:rPr>
          <w:i/>
          <w:iCs/>
        </w:rPr>
        <w:t xml:space="preserve">Summary: The Collective Knowledge Doctrine established </w:t>
      </w:r>
      <w:r w:rsidRPr="00EF644F">
        <w:rPr>
          <w:i/>
          <w:iCs/>
        </w:rPr>
        <w:t xml:space="preserve">reasonable articulable suspicion to </w:t>
      </w:r>
      <w:r w:rsidRPr="00EF644F">
        <w:rPr>
          <w:i/>
          <w:iCs/>
        </w:rPr>
        <w:t xml:space="preserve">both </w:t>
      </w:r>
      <w:r w:rsidRPr="00EF644F">
        <w:rPr>
          <w:i/>
          <w:iCs/>
        </w:rPr>
        <w:t>stop and frisk</w:t>
      </w:r>
      <w:r w:rsidRPr="00EF644F">
        <w:rPr>
          <w:i/>
          <w:iCs/>
        </w:rPr>
        <w:t xml:space="preserve"> the suspect.</w:t>
      </w:r>
    </w:p>
    <w:p w14:paraId="47F79810" w14:textId="77777777" w:rsidR="00EF644F" w:rsidRDefault="00EF644F" w:rsidP="00EF644F"/>
    <w:p w14:paraId="464B7348" w14:textId="77777777" w:rsidR="00EF644F" w:rsidRDefault="00EF644F" w:rsidP="00EF644F">
      <w:r>
        <w:t>Police received reports of a group committing robberies or attempted robberies in a white Nissan Rogue that had been reported stolen. Officers tracked the vehicle, observed it being driven recklessly, and saw it crash. Four individuals, including E.A., fled from the car. E.A. was apprehended shortly after the crash, frisked, and found to have a handgun in his sweatshirt pocket. He was subsequently charged with carrying a pistol without a license and possession of an unregistered firearm.</w:t>
      </w:r>
    </w:p>
    <w:p w14:paraId="57927B07" w14:textId="77777777" w:rsidR="00EF644F" w:rsidRDefault="00EF644F" w:rsidP="00EF644F"/>
    <w:p w14:paraId="2986AEA2" w14:textId="77777777" w:rsidR="00EF644F" w:rsidRDefault="00EF644F" w:rsidP="00EF644F">
      <w:r>
        <w:t>The Superior Court of the District of Columbia denied E.A.’s motion to suppress the handgun, finding that officers had reasonable articulable suspicion to stop and frisk him based on his association with the group suspected of recent robberies and the stolen vehicle, as well as his flight from the crash. The court also concluded that, even if the officers’ actions exceeded the scope of a Terry stop, they had probable cause to arrest E.A. for multiple offenses, justifying a search incident to arrest. E.A. was adjudicated delinquent on both firearms charges and appealed, challenging the denial of his suppression motion.</w:t>
      </w:r>
    </w:p>
    <w:p w14:paraId="2EE656B1" w14:textId="77777777" w:rsidR="00EF644F" w:rsidRDefault="00EF644F" w:rsidP="00EF644F"/>
    <w:p w14:paraId="3F41FAEA" w14:textId="559895F9" w:rsidR="00EF644F" w:rsidRDefault="00EF644F" w:rsidP="00EF644F">
      <w:r>
        <w:t xml:space="preserve">The District of Columbia Court of Appeals reviewed the case and affirmed the Superior Court’s judgment. The appellate court held that the officers had </w:t>
      </w:r>
      <w:bookmarkStart w:id="0" w:name="_Hlk207963703"/>
      <w:r>
        <w:t xml:space="preserve">reasonable articulable suspicion to stop and frisk E.A., relying on the collective knowledge from radio dispatches, corroborated by officers’ observations and the circumstances of the stop. </w:t>
      </w:r>
      <w:bookmarkEnd w:id="0"/>
      <w:r>
        <w:t>The court further held that the officers’ use of handcuffs and drawn weapons did not convert the stop into an arrest, given the safety concerns and flight risk. Therefore, the search and seizure of the handgun did not violate the Fourth Amendment, and the judgment was affirmed.</w:t>
      </w:r>
    </w:p>
    <w:p w14:paraId="40EEE39A" w14:textId="77777777" w:rsidR="00EF644F" w:rsidRDefault="00EF644F" w:rsidP="00EF644F"/>
    <w:p w14:paraId="7FD883DB" w14:textId="12E5B270" w:rsidR="00EF644F" w:rsidRDefault="00EF644F" w:rsidP="00EF644F">
      <w:hyperlink r:id="rId8" w:history="1">
        <w:r w:rsidRPr="00D043C5">
          <w:rPr>
            <w:rStyle w:val="Hyperlink"/>
          </w:rPr>
          <w:t>https://cases.justia.com/district-of-columbia/court-of-appeals/2025-23-fs-1042.pdf</w:t>
        </w:r>
      </w:hyperlink>
    </w:p>
    <w:p w14:paraId="251B34B2" w14:textId="77777777" w:rsidR="00EF644F" w:rsidRDefault="00EF644F" w:rsidP="00EF644F"/>
    <w:p w14:paraId="0F443BCD" w14:textId="77777777" w:rsidR="00EF644F" w:rsidRDefault="00EF644F" w:rsidP="00EF644F"/>
    <w:p w14:paraId="7742596A" w14:textId="77777777" w:rsidR="00EF644F" w:rsidRPr="00EF644F" w:rsidRDefault="00EF644F" w:rsidP="00EF644F">
      <w:pPr>
        <w:rPr>
          <w:b/>
          <w:bCs/>
        </w:rPr>
      </w:pPr>
      <w:r w:rsidRPr="00EF644F">
        <w:rPr>
          <w:b/>
          <w:bCs/>
        </w:rPr>
        <w:t>State v. Carter-Brueggeman</w:t>
      </w:r>
    </w:p>
    <w:p w14:paraId="428C439F" w14:textId="4F66B6EE" w:rsidR="00EF644F" w:rsidRDefault="00EF644F" w:rsidP="00EF644F">
      <w:r>
        <w:t>Montana Supreme Court</w:t>
      </w:r>
    </w:p>
    <w:p w14:paraId="57D0284E" w14:textId="328498EF" w:rsidR="00EF644F" w:rsidRDefault="00EF644F" w:rsidP="00EF644F">
      <w:r>
        <w:t>September 2, 2025</w:t>
      </w:r>
    </w:p>
    <w:p w14:paraId="67A70AFB" w14:textId="77777777" w:rsidR="00EF644F" w:rsidRDefault="00EF644F" w:rsidP="00EF644F"/>
    <w:p w14:paraId="3D1CAB04" w14:textId="4B567BD7" w:rsidR="00EF644F" w:rsidRPr="00EF644F" w:rsidRDefault="00EF644F" w:rsidP="00EF644F">
      <w:pPr>
        <w:rPr>
          <w:i/>
          <w:iCs/>
        </w:rPr>
      </w:pPr>
      <w:r w:rsidRPr="00EF644F">
        <w:rPr>
          <w:i/>
          <w:iCs/>
        </w:rPr>
        <w:t xml:space="preserve">Summary: Reasonable suspicion </w:t>
      </w:r>
      <w:r w:rsidRPr="00EF644F">
        <w:rPr>
          <w:i/>
          <w:iCs/>
        </w:rPr>
        <w:t>did not ripen into probable cause to seize the vehicle or the purse.</w:t>
      </w:r>
    </w:p>
    <w:p w14:paraId="0FD97D04" w14:textId="77777777" w:rsidR="00EF644F" w:rsidRDefault="00EF644F" w:rsidP="00EF644F"/>
    <w:p w14:paraId="259DBDA6" w14:textId="77777777" w:rsidR="00EF644F" w:rsidRDefault="00EF644F" w:rsidP="00EF644F">
      <w:r>
        <w:t xml:space="preserve">A woman was stopped by a sheriff’s deputy in Ravalli County, Montana, for driving a vehicle with expired registration. The stop followed a call from a citizen informant reporting unusual activity at a </w:t>
      </w:r>
      <w:proofErr w:type="gramStart"/>
      <w:r>
        <w:t>residence</w:t>
      </w:r>
      <w:proofErr w:type="gramEnd"/>
      <w:r>
        <w:t xml:space="preserve"> known for prior drug activity, and an off-duty trooper’s observation of the woman leaving that residence in the vehicle. During the stop, the deputy questioned the woman about her activities and associations with the residence, and she provided explanations consistent with her presence there for lawful reasons. The deputy, suspecting drug activity, ultimately seized the vehicle and the woman’s purse, later obtaining a search warrant that led to the discovery of methamphetamine and drug paraphernalia in the purse.</w:t>
      </w:r>
    </w:p>
    <w:p w14:paraId="2F814FD0" w14:textId="77777777" w:rsidR="00EF644F" w:rsidRDefault="00EF644F" w:rsidP="00EF644F"/>
    <w:p w14:paraId="0EDFB57C" w14:textId="77777777" w:rsidR="00EF644F" w:rsidRDefault="00EF644F" w:rsidP="00EF644F">
      <w:r>
        <w:lastRenderedPageBreak/>
        <w:t>The Twenty-First Judicial District Court, Ravalli County, denied the woman’s motion to suppress the evidence found in her purse. The court held that the deputy had particularized suspicion to extend the traffic stop beyond the registration issue to investigate possible drug activity, and that there was probable cause to seize the vehicle and its contents, including the purse. The court also found that the search warrant was supported by probable cause and that the woman had not shown any false statements in the warrant application.</w:t>
      </w:r>
    </w:p>
    <w:p w14:paraId="3741FE22" w14:textId="77777777" w:rsidR="00EF644F" w:rsidRDefault="00EF644F" w:rsidP="00EF644F"/>
    <w:p w14:paraId="4F647225" w14:textId="79BF3F02" w:rsidR="00EF644F" w:rsidRDefault="00EF644F" w:rsidP="00EF644F">
      <w:r>
        <w:t>On appeal, the Supreme Court of the State of Montana reviewed whether the district court properly denied the motion to suppress. The Supreme Court held that while the deputy had particularized suspicion to extend the stop and inquire about drug activity, the suspicion was dispelled by the woman’s answers and did not ripen into probable cause to seize the vehicle or the purse. The Court found the district court’s findings regarding the woman’s demeanor and the basis for probable cause to be clearly erroneous. The Supreme Court reversed the district court’s denial of the motion to suppress.</w:t>
      </w:r>
    </w:p>
    <w:p w14:paraId="7C569083" w14:textId="77777777" w:rsidR="000A07B9" w:rsidRDefault="000A07B9" w:rsidP="000A07B9"/>
    <w:p w14:paraId="453FE575" w14:textId="366173AF" w:rsidR="000A07B9" w:rsidRDefault="00B70126" w:rsidP="000A07B9">
      <w:hyperlink r:id="rId9" w:history="1">
        <w:r w:rsidRPr="00722336">
          <w:rPr>
            <w:rStyle w:val="Hyperlink"/>
          </w:rPr>
          <w:t>https://cases.justia.com/montana/supreme-court/2025-da-24-0402.pdf</w:t>
        </w:r>
      </w:hyperlink>
    </w:p>
    <w:p w14:paraId="065AC49B" w14:textId="77777777" w:rsidR="00B70126" w:rsidRDefault="00B70126" w:rsidP="000A07B9"/>
    <w:p w14:paraId="3688064F" w14:textId="77777777" w:rsidR="00B70126" w:rsidRDefault="00B70126" w:rsidP="000A07B9"/>
    <w:p w14:paraId="5F4DB36C" w14:textId="77777777" w:rsidR="00B70126" w:rsidRPr="00B70126" w:rsidRDefault="00B70126" w:rsidP="00B70126">
      <w:pPr>
        <w:rPr>
          <w:b/>
          <w:bCs/>
        </w:rPr>
      </w:pPr>
      <w:r w:rsidRPr="00B70126">
        <w:rPr>
          <w:b/>
          <w:bCs/>
        </w:rPr>
        <w:t>Welter v. Wilson</w:t>
      </w:r>
    </w:p>
    <w:p w14:paraId="032B8E4B" w14:textId="6CAC55A0" w:rsidR="00B70126" w:rsidRDefault="00B70126" w:rsidP="00B70126">
      <w:r>
        <w:t>U.S. Court of Appeals for the Eighth Circuit</w:t>
      </w:r>
    </w:p>
    <w:p w14:paraId="1644273D" w14:textId="638FFC5D" w:rsidR="00B70126" w:rsidRDefault="00B70126" w:rsidP="00B70126">
      <w:r>
        <w:t>24-2531</w:t>
      </w:r>
    </w:p>
    <w:p w14:paraId="183D1702" w14:textId="0286B505" w:rsidR="00B70126" w:rsidRDefault="00B70126" w:rsidP="00B70126">
      <w:r>
        <w:t>August 29, 2025</w:t>
      </w:r>
    </w:p>
    <w:p w14:paraId="7AA85534" w14:textId="77777777" w:rsidR="00B70126" w:rsidRDefault="00B70126" w:rsidP="00B70126"/>
    <w:p w14:paraId="56C05322" w14:textId="7AF60A99" w:rsidR="00B70126" w:rsidRDefault="00B70126" w:rsidP="00B70126">
      <w:r>
        <w:t xml:space="preserve">Summary: </w:t>
      </w:r>
    </w:p>
    <w:p w14:paraId="2B42366A" w14:textId="77777777" w:rsidR="00B70126" w:rsidRDefault="00B70126" w:rsidP="00B70126"/>
    <w:p w14:paraId="262E4C0A" w14:textId="77777777" w:rsidR="00B70126" w:rsidRDefault="00B70126" w:rsidP="00B70126">
      <w:r>
        <w:t>Police officers in Bella Vista, Arkansas, responded to a home shared by the Welters and Hutchins families after a suspected drug overdose, where they found pills, including fentanyl, in areas accessible to children. A week later, another overdose occurred at the same residence, resulting in a fatality while children were present. Months later, officers discovered traces of THC in the home’s trash, and a subsequent search revealed marijuana and drug paraphernalia throughout the house, including a still-smoking bong. During an interview, one parent admitted that adults regularly smoked marijuana in the home, though they tried to keep the children out of the room. Police notified the Arkansas Department of Human Services about possible child endangerment. Shortly after, Detective Wilson and other officers took the minor children for forensic interviews without a warrant, over the parents’ objections, and warned the parents they would be arrested if they interfered. The children were later returned to their parents.</w:t>
      </w:r>
    </w:p>
    <w:p w14:paraId="5927D2B4" w14:textId="77777777" w:rsidR="00B70126" w:rsidRDefault="00B70126" w:rsidP="00B70126"/>
    <w:p w14:paraId="67CB30A2" w14:textId="77777777" w:rsidR="00B70126" w:rsidRDefault="00B70126" w:rsidP="00B70126">
      <w:r>
        <w:t>The United States District Court for the Western District of Arkansas granted summary judgment to Detective Wilson on the parents’ Fourth Amendment claims, finding she was entitled to qualified immunity. The court determined that the parents had not alleged a violation of their own Fourth Amendment rights and that the claims on behalf of the children did not overcome qualified immunity. The parents appealed, focusing solely on the Fourth Amendment claims.</w:t>
      </w:r>
    </w:p>
    <w:p w14:paraId="7915B09B" w14:textId="77777777" w:rsidR="00B70126" w:rsidRDefault="00B70126" w:rsidP="00B70126"/>
    <w:p w14:paraId="5500FF77" w14:textId="502530E1" w:rsidR="00B70126" w:rsidRDefault="00B70126" w:rsidP="00B70126">
      <w:r>
        <w:t xml:space="preserve">The United States Court of Appeals for the Eighth Circuit reviewed the case de novo and affirmed the district court’s decision. The Eighth Circuit held that Detective Wilson was entitled to qualified immunity because, under the totality of the circumstances, a reasonable officer could have believed there was reasonable suspicion that the children were in danger. The court also declined </w:t>
      </w:r>
      <w:r>
        <w:lastRenderedPageBreak/>
        <w:t>to adopt a new standard requiring probable cause and exigent circumstances for such removals, noting that existing precedent did not clearly establish such a right.</w:t>
      </w:r>
    </w:p>
    <w:p w14:paraId="7315826A" w14:textId="77777777" w:rsidR="00B70126" w:rsidRDefault="00B70126" w:rsidP="00B70126"/>
    <w:p w14:paraId="7A0958AF" w14:textId="2E2062FE" w:rsidR="00B70126" w:rsidRDefault="00B70126" w:rsidP="00B70126">
      <w:hyperlink r:id="rId10" w:history="1">
        <w:r w:rsidRPr="00722336">
          <w:rPr>
            <w:rStyle w:val="Hyperlink"/>
          </w:rPr>
          <w:t>https://cases.justia.com/federal/appellate-courts/ca8/24-2531/24-2531-2025-08-29.pdf</w:t>
        </w:r>
      </w:hyperlink>
    </w:p>
    <w:p w14:paraId="6E241273" w14:textId="77777777" w:rsidR="00B70126" w:rsidRDefault="00B70126" w:rsidP="00B70126"/>
    <w:p w14:paraId="45222B9A" w14:textId="77777777" w:rsidR="00B70126" w:rsidRDefault="00B70126" w:rsidP="00B70126"/>
    <w:p w14:paraId="08AB5B1B" w14:textId="77777777" w:rsidR="003C6887" w:rsidRPr="003C6887" w:rsidRDefault="003C6887" w:rsidP="003C6887">
      <w:pPr>
        <w:rPr>
          <w:b/>
          <w:bCs/>
        </w:rPr>
      </w:pPr>
      <w:r w:rsidRPr="003C6887">
        <w:rPr>
          <w:b/>
          <w:bCs/>
        </w:rPr>
        <w:t>United States v. Wilson</w:t>
      </w:r>
    </w:p>
    <w:p w14:paraId="238289B5" w14:textId="1FCB4AC4" w:rsidR="003C6887" w:rsidRDefault="003C6887" w:rsidP="003C6887">
      <w:r>
        <w:t>U.S. Court of Appeals for the Fifth Circuit</w:t>
      </w:r>
    </w:p>
    <w:p w14:paraId="5F0261BC" w14:textId="308399A6" w:rsidR="003C6887" w:rsidRDefault="003C6887" w:rsidP="003C6887">
      <w:r>
        <w:t>25-30105</w:t>
      </w:r>
    </w:p>
    <w:p w14:paraId="4B5DD01C" w14:textId="0FB939DA" w:rsidR="003C6887" w:rsidRDefault="003C6887" w:rsidP="003C6887">
      <w:r>
        <w:t>August 29, 2025</w:t>
      </w:r>
    </w:p>
    <w:p w14:paraId="69058ED2" w14:textId="77777777" w:rsidR="003C6887" w:rsidRDefault="003C6887" w:rsidP="003C6887"/>
    <w:p w14:paraId="5AF9D134" w14:textId="0DF60C6E" w:rsidR="003C6887" w:rsidRPr="003C6887" w:rsidRDefault="003C6887" w:rsidP="003C6887">
      <w:pPr>
        <w:rPr>
          <w:i/>
          <w:iCs/>
        </w:rPr>
      </w:pPr>
      <w:r w:rsidRPr="003C6887">
        <w:rPr>
          <w:i/>
          <w:iCs/>
        </w:rPr>
        <w:t xml:space="preserve">Summary: The </w:t>
      </w:r>
      <w:r w:rsidRPr="003C6887">
        <w:rPr>
          <w:i/>
          <w:iCs/>
        </w:rPr>
        <w:t>“</w:t>
      </w:r>
      <w:proofErr w:type="gramStart"/>
      <w:r w:rsidRPr="003C6887">
        <w:rPr>
          <w:i/>
          <w:iCs/>
        </w:rPr>
        <w:t>bare-bones</w:t>
      </w:r>
      <w:proofErr w:type="gramEnd"/>
      <w:r w:rsidRPr="003C6887">
        <w:rPr>
          <w:i/>
          <w:iCs/>
        </w:rPr>
        <w:t>” statement</w:t>
      </w:r>
      <w:r w:rsidRPr="003C6887">
        <w:rPr>
          <w:i/>
          <w:iCs/>
        </w:rPr>
        <w:t xml:space="preserve"> in the search warrant affidavit offered </w:t>
      </w:r>
      <w:r w:rsidRPr="003C6887">
        <w:rPr>
          <w:i/>
          <w:iCs/>
        </w:rPr>
        <w:t xml:space="preserve">no facts connecting the alleged crime to the </w:t>
      </w:r>
      <w:r w:rsidRPr="003C6887">
        <w:rPr>
          <w:i/>
          <w:iCs/>
        </w:rPr>
        <w:t>apartment and</w:t>
      </w:r>
      <w:r w:rsidRPr="003C6887">
        <w:rPr>
          <w:i/>
          <w:iCs/>
        </w:rPr>
        <w:t xml:space="preserve"> thus failed to establish probable cause.</w:t>
      </w:r>
    </w:p>
    <w:p w14:paraId="560FB408" w14:textId="77777777" w:rsidR="003C6887" w:rsidRDefault="003C6887" w:rsidP="003C6887"/>
    <w:p w14:paraId="3CDB9840" w14:textId="77777777" w:rsidR="003C6887" w:rsidRDefault="003C6887" w:rsidP="003C6887">
      <w:r>
        <w:t>Ricky Wilson was implicated in an incident at a Waffle House, where he allegedly brandished a green pistol with a drum magazine during a dispute, causing fear in another customer. The victim identified Wilson, his vehicle, and the weapon. A detective, already investigating Wilson for another matter, learned that Wilson’s girlfriend rented an apartment at 212 Central Avenue, where Wilson’s car was later observed. Two weeks after the Waffle House incident, the detective sought and obtained both an arrest warrant for Wilson and a search warrant for the apartment, based on an affidavit that recounted the Waffle House events and stated that items related to the assault were “believed to be located” at the apartment. The search yielded ammunition, marijuana, and a firearm, leading to federal charges against Wilson.</w:t>
      </w:r>
    </w:p>
    <w:p w14:paraId="4F6C995A" w14:textId="77777777" w:rsidR="003C6887" w:rsidRDefault="003C6887" w:rsidP="003C6887"/>
    <w:p w14:paraId="14440430" w14:textId="77777777" w:rsidR="003C6887" w:rsidRDefault="003C6887" w:rsidP="003C6887">
      <w:r>
        <w:t>The United States District Court for the Eastern District of Louisiana granted Wilson’s motion to suppress the evidence found at the apartment. The court found that the affidavit supporting the search warrant failed to establish a nexus between the Waffle House incident and the apartment, rendering the warrant unsupported by probable cause. The court also determined that the good-faith exception to the exclusionary rule did not apply because the affidavit was so lacking in indicia of probable cause that reliance on it was unreasonable. The government appealed this decision.</w:t>
      </w:r>
    </w:p>
    <w:p w14:paraId="10616DE5" w14:textId="77777777" w:rsidR="003C6887" w:rsidRDefault="003C6887" w:rsidP="003C6887"/>
    <w:p w14:paraId="613580FE" w14:textId="04C1B679" w:rsidR="00B70126" w:rsidRDefault="003C6887" w:rsidP="003C6887">
      <w:r>
        <w:t>The United States Court of Appeals for the Fifth Circuit reviewed the case and affirmed the district court’s suppression of the evidence. The Fifth Circuit held that the affidavit was a “</w:t>
      </w:r>
      <w:proofErr w:type="gramStart"/>
      <w:r>
        <w:t>bare-bones</w:t>
      </w:r>
      <w:proofErr w:type="gramEnd"/>
      <w:r>
        <w:t>” statement, offering no facts connecting the alleged crime to the apartment, and thus failed to establish probable cause. The court further held that the good-faith exception did not apply because the affidavit was so deficient that no reasonable officer could believe it established probable cause. The suppression of the evidence was therefore proper.</w:t>
      </w:r>
    </w:p>
    <w:p w14:paraId="62B5D3B1" w14:textId="77777777" w:rsidR="00B70126" w:rsidRDefault="00B70126" w:rsidP="00B70126"/>
    <w:p w14:paraId="5DA877BC" w14:textId="5EEF263E" w:rsidR="003C6887" w:rsidRDefault="00E37AB5" w:rsidP="00B70126">
      <w:hyperlink r:id="rId11" w:history="1">
        <w:r w:rsidRPr="00722336">
          <w:rPr>
            <w:rStyle w:val="Hyperlink"/>
          </w:rPr>
          <w:t>https://cases.justia.com/federal/appellate-courts/ca5/25-30105/25-30105-2025-08-29.pdf</w:t>
        </w:r>
      </w:hyperlink>
    </w:p>
    <w:p w14:paraId="5E8D6986" w14:textId="77777777" w:rsidR="00E37AB5" w:rsidRDefault="00E37AB5" w:rsidP="00B70126"/>
    <w:p w14:paraId="3335F312" w14:textId="77777777" w:rsidR="00E37AB5" w:rsidRDefault="00E37AB5" w:rsidP="00B70126"/>
    <w:p w14:paraId="5014C895" w14:textId="77777777" w:rsidR="00E37AB5" w:rsidRDefault="00E37AB5" w:rsidP="00B70126"/>
    <w:p w14:paraId="21B144F9" w14:textId="77777777" w:rsidR="00E37AB5" w:rsidRDefault="00E37AB5" w:rsidP="00B70126"/>
    <w:p w14:paraId="7977CEC0" w14:textId="77777777" w:rsidR="00E37AB5" w:rsidRDefault="00E37AB5" w:rsidP="00B70126"/>
    <w:p w14:paraId="2F474276" w14:textId="77777777" w:rsidR="00E37AB5" w:rsidRDefault="00E37AB5" w:rsidP="00B70126"/>
    <w:p w14:paraId="725EF67D" w14:textId="77777777" w:rsidR="00E37AB5" w:rsidRDefault="00E37AB5" w:rsidP="00B70126"/>
    <w:p w14:paraId="1C38DD9E" w14:textId="77777777" w:rsidR="00E37AB5" w:rsidRDefault="00E37AB5" w:rsidP="00B70126"/>
    <w:p w14:paraId="659BDAB9" w14:textId="77777777" w:rsidR="00E37AB5" w:rsidRDefault="00E37AB5" w:rsidP="00B70126"/>
    <w:p w14:paraId="3C9E3CE8" w14:textId="77777777" w:rsidR="00E37AB5" w:rsidRPr="00E37AB5" w:rsidRDefault="00E37AB5" w:rsidP="00E37AB5">
      <w:pPr>
        <w:rPr>
          <w:b/>
          <w:bCs/>
        </w:rPr>
      </w:pPr>
      <w:r w:rsidRPr="00E37AB5">
        <w:rPr>
          <w:b/>
          <w:bCs/>
        </w:rPr>
        <w:lastRenderedPageBreak/>
        <w:t>United States v. Florence</w:t>
      </w:r>
    </w:p>
    <w:p w14:paraId="3B975638" w14:textId="23433E76" w:rsidR="00E37AB5" w:rsidRDefault="00E37AB5" w:rsidP="00E37AB5">
      <w:r>
        <w:t>U.S. Court of Appeals for the Sixth Circuit</w:t>
      </w:r>
    </w:p>
    <w:p w14:paraId="45C61A77" w14:textId="47AB5DDE" w:rsidR="00E37AB5" w:rsidRDefault="00E37AB5" w:rsidP="00E37AB5">
      <w:r>
        <w:t>24-3729</w:t>
      </w:r>
    </w:p>
    <w:p w14:paraId="713974BD" w14:textId="47265511" w:rsidR="00E37AB5" w:rsidRDefault="00E37AB5" w:rsidP="00E37AB5">
      <w:r>
        <w:t>September 4, 2025</w:t>
      </w:r>
    </w:p>
    <w:p w14:paraId="44405884" w14:textId="77777777" w:rsidR="00E37AB5" w:rsidRDefault="00E37AB5" w:rsidP="00E37AB5"/>
    <w:p w14:paraId="014527BB" w14:textId="4A2E81D7" w:rsidR="00E37AB5" w:rsidRPr="00E37AB5" w:rsidRDefault="00E37AB5" w:rsidP="00E37AB5">
      <w:pPr>
        <w:rPr>
          <w:i/>
          <w:iCs/>
        </w:rPr>
      </w:pPr>
      <w:r w:rsidRPr="00E37AB5">
        <w:rPr>
          <w:i/>
          <w:iCs/>
        </w:rPr>
        <w:t>Summary: O</w:t>
      </w:r>
      <w:r w:rsidRPr="00E37AB5">
        <w:rPr>
          <w:i/>
          <w:iCs/>
        </w:rPr>
        <w:t xml:space="preserve">bserving a suspect leave a residence, conduct a drug sale, and return provides a sufficient nexus to </w:t>
      </w:r>
      <w:r w:rsidRPr="00E37AB5">
        <w:rPr>
          <w:i/>
          <w:iCs/>
        </w:rPr>
        <w:t xml:space="preserve">establish probable cause for </w:t>
      </w:r>
      <w:r>
        <w:rPr>
          <w:i/>
          <w:iCs/>
        </w:rPr>
        <w:t xml:space="preserve">a </w:t>
      </w:r>
      <w:r w:rsidRPr="00E37AB5">
        <w:rPr>
          <w:i/>
          <w:iCs/>
        </w:rPr>
        <w:t>search warrant.</w:t>
      </w:r>
    </w:p>
    <w:p w14:paraId="5511EBD4" w14:textId="77777777" w:rsidR="00E37AB5" w:rsidRDefault="00E37AB5" w:rsidP="00E37AB5"/>
    <w:p w14:paraId="2B90F504" w14:textId="77777777" w:rsidR="00E37AB5" w:rsidRDefault="00E37AB5" w:rsidP="00E37AB5">
      <w:r>
        <w:t>Federal agents began investigating an individual due to his connections with a known drug dealer. Over several months, agents conducted multiple controlled purchases of fentanyl and cocaine from him, using an undercover officer. During the final controlled buy, agents tracked the individual’s cell phone to a specific residence, observed him leave that house, conduct the drug sale, and return immediately afterward. Based on these observations, agents obtained a search warrant for the residence, where they found large quantities of drugs, cash, firearms, and drug paraphernalia. The individual and his aunt were present during the search.</w:t>
      </w:r>
    </w:p>
    <w:p w14:paraId="731466F4" w14:textId="77777777" w:rsidR="00E37AB5" w:rsidRDefault="00E37AB5" w:rsidP="00E37AB5"/>
    <w:p w14:paraId="70BE89EF" w14:textId="77777777" w:rsidR="00E37AB5" w:rsidRDefault="00E37AB5" w:rsidP="00E37AB5">
      <w:r>
        <w:t>A grand jury indicted the individual on multiple drug and firearm charges. He moved to suppress the evidence obtained from the search, arguing that the warrant lacked probable cause. The United States District Court for the Northern District of Ohio denied the suppression motion. The defendant then pleaded guilty to several counts but reserved his right to appeal the suppression ruling. At sentencing, the district court applied a two-level enhancement for maintaining a premises for drug distribution, resulting in a 106-month prison sentence.</w:t>
      </w:r>
    </w:p>
    <w:p w14:paraId="58BE9A39" w14:textId="77777777" w:rsidR="00E37AB5" w:rsidRDefault="00E37AB5" w:rsidP="00E37AB5"/>
    <w:p w14:paraId="162C37D3" w14:textId="232F550D" w:rsidR="00E37AB5" w:rsidRDefault="00E37AB5" w:rsidP="00E37AB5">
      <w:r>
        <w:t>The United States Court of Appeals for the Sixth Circuit reviewed the case. The court held that the search warrant was supported by probable cause, relying on precedent that observing a suspect leave a residence, conduct a drug sale, and return provides a sufficient nexus to justify a search. The court also upheld the sentencing enhancement, finding no clear error in the district court’s determination that the defendant exercised de facto control over the premises, given the evidence found and his admitted possession of the contraband. The Sixth Circuit affirmed the district court’s rulings in all respects.</w:t>
      </w:r>
    </w:p>
    <w:p w14:paraId="7D01D527" w14:textId="77777777" w:rsidR="00E37AB5" w:rsidRDefault="00E37AB5" w:rsidP="00E37AB5"/>
    <w:p w14:paraId="2858C766" w14:textId="556B5D47" w:rsidR="00E37AB5" w:rsidRDefault="00E37AB5" w:rsidP="00E37AB5">
      <w:hyperlink r:id="rId12" w:history="1">
        <w:r w:rsidRPr="00722336">
          <w:rPr>
            <w:rStyle w:val="Hyperlink"/>
          </w:rPr>
          <w:t>https://cases.justia.com/federal/appellate-courts/ca6/24-3729/24-3729-2025-09-04.pdf</w:t>
        </w:r>
      </w:hyperlink>
    </w:p>
    <w:p w14:paraId="7CCC33F5" w14:textId="77777777" w:rsidR="00E37AB5" w:rsidRDefault="00E37AB5" w:rsidP="00E37AB5"/>
    <w:p w14:paraId="264A90DF" w14:textId="77777777" w:rsidR="00E37AB5" w:rsidRDefault="00E37AB5" w:rsidP="00E37AB5"/>
    <w:p w14:paraId="63881C8B" w14:textId="77777777" w:rsidR="00E37AB5" w:rsidRDefault="00E37AB5" w:rsidP="00E37AB5"/>
    <w:sectPr w:rsidR="00E37A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A6D"/>
    <w:rsid w:val="000A07B9"/>
    <w:rsid w:val="001F6A6D"/>
    <w:rsid w:val="002550DE"/>
    <w:rsid w:val="003C6887"/>
    <w:rsid w:val="003D5635"/>
    <w:rsid w:val="007A731D"/>
    <w:rsid w:val="00B70126"/>
    <w:rsid w:val="00C04E35"/>
    <w:rsid w:val="00D57645"/>
    <w:rsid w:val="00DF4922"/>
    <w:rsid w:val="00E37AB5"/>
    <w:rsid w:val="00E4139D"/>
    <w:rsid w:val="00E81240"/>
    <w:rsid w:val="00EF6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5A4277"/>
  <w15:chartTrackingRefBased/>
  <w15:docId w15:val="{FE9E332D-F66E-4ABB-8F4F-4819234F9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A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A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A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A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A6D"/>
    <w:rPr>
      <w:rFonts w:eastAsiaTheme="majorEastAsia" w:cstheme="majorBidi"/>
      <w:color w:val="272727" w:themeColor="text1" w:themeTint="D8"/>
    </w:rPr>
  </w:style>
  <w:style w:type="paragraph" w:styleId="Title">
    <w:name w:val="Title"/>
    <w:basedOn w:val="Normal"/>
    <w:next w:val="Normal"/>
    <w:link w:val="TitleChar"/>
    <w:uiPriority w:val="10"/>
    <w:qFormat/>
    <w:rsid w:val="001F6A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A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A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6A6D"/>
    <w:rPr>
      <w:i/>
      <w:iCs/>
      <w:color w:val="404040" w:themeColor="text1" w:themeTint="BF"/>
    </w:rPr>
  </w:style>
  <w:style w:type="paragraph" w:styleId="ListParagraph">
    <w:name w:val="List Paragraph"/>
    <w:basedOn w:val="Normal"/>
    <w:uiPriority w:val="34"/>
    <w:qFormat/>
    <w:rsid w:val="001F6A6D"/>
    <w:pPr>
      <w:ind w:left="720"/>
      <w:contextualSpacing/>
    </w:pPr>
  </w:style>
  <w:style w:type="character" w:styleId="IntenseEmphasis">
    <w:name w:val="Intense Emphasis"/>
    <w:basedOn w:val="DefaultParagraphFont"/>
    <w:uiPriority w:val="21"/>
    <w:qFormat/>
    <w:rsid w:val="001F6A6D"/>
    <w:rPr>
      <w:i/>
      <w:iCs/>
      <w:color w:val="0F4761" w:themeColor="accent1" w:themeShade="BF"/>
    </w:rPr>
  </w:style>
  <w:style w:type="paragraph" w:styleId="IntenseQuote">
    <w:name w:val="Intense Quote"/>
    <w:basedOn w:val="Normal"/>
    <w:next w:val="Normal"/>
    <w:link w:val="IntenseQuoteChar"/>
    <w:uiPriority w:val="30"/>
    <w:qFormat/>
    <w:rsid w:val="001F6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A6D"/>
    <w:rPr>
      <w:i/>
      <w:iCs/>
      <w:color w:val="0F4761" w:themeColor="accent1" w:themeShade="BF"/>
    </w:rPr>
  </w:style>
  <w:style w:type="character" w:styleId="IntenseReference">
    <w:name w:val="Intense Reference"/>
    <w:basedOn w:val="DefaultParagraphFont"/>
    <w:uiPriority w:val="32"/>
    <w:qFormat/>
    <w:rsid w:val="001F6A6D"/>
    <w:rPr>
      <w:b/>
      <w:bCs/>
      <w:smallCaps/>
      <w:color w:val="0F4761" w:themeColor="accent1" w:themeShade="BF"/>
      <w:spacing w:val="5"/>
    </w:rPr>
  </w:style>
  <w:style w:type="character" w:styleId="Hyperlink">
    <w:name w:val="Hyperlink"/>
    <w:basedOn w:val="DefaultParagraphFont"/>
    <w:uiPriority w:val="99"/>
    <w:unhideWhenUsed/>
    <w:rsid w:val="000A07B9"/>
    <w:rPr>
      <w:color w:val="467886" w:themeColor="hyperlink"/>
      <w:u w:val="single"/>
    </w:rPr>
  </w:style>
  <w:style w:type="character" w:styleId="UnresolvedMention">
    <w:name w:val="Unresolved Mention"/>
    <w:basedOn w:val="DefaultParagraphFont"/>
    <w:uiPriority w:val="99"/>
    <w:semiHidden/>
    <w:unhideWhenUsed/>
    <w:rsid w:val="000A0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district-of-columbia/court-of-appeals/2025-23-fs-1042.pdf"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ases.justia.com/federal/appellate-courts/cadc/24-3036/24-3036-2025-08-29.pdf" TargetMode="External"/><Relationship Id="rId12" Type="http://schemas.openxmlformats.org/officeDocument/2006/relationships/hyperlink" Target="https://cases.justia.com/federal/appellate-courts/ca6/24-3729/24-3729-2025-09-04.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11/24-10086/24-10086-2025-09-04.pdf" TargetMode="External"/><Relationship Id="rId11" Type="http://schemas.openxmlformats.org/officeDocument/2006/relationships/hyperlink" Target="https://cases.justia.com/federal/appellate-courts/ca5/25-30105/25-30105-2025-08-29.pdf" TargetMode="External"/><Relationship Id="rId5" Type="http://schemas.openxmlformats.org/officeDocument/2006/relationships/hyperlink" Target="https://cases.justia.com/federal/appellate-courts/ca10/24-5071/24-5071-2025-09-02.pdf" TargetMode="External"/><Relationship Id="rId10" Type="http://schemas.openxmlformats.org/officeDocument/2006/relationships/hyperlink" Target="https://cases.justia.com/federal/appellate-courts/ca8/24-2531/24-2531-2025-08-29.pdf" TargetMode="External"/><Relationship Id="rId4" Type="http://schemas.openxmlformats.org/officeDocument/2006/relationships/hyperlink" Target="https://cases.justia.com/federal/appellate-courts/ca7/24-1903/24-1903-2025-09-02.pdf" TargetMode="External"/><Relationship Id="rId9" Type="http://schemas.openxmlformats.org/officeDocument/2006/relationships/hyperlink" Target="https://cases.justia.com/montana/supreme-court/2025-da-24-0402.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3143</Words>
  <Characters>17917</Characters>
  <Application>Microsoft Office Word</Application>
  <DocSecurity>0</DocSecurity>
  <Lines>338</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2025-09-05T14:42:00Z</dcterms:created>
  <dcterms:modified xsi:type="dcterms:W3CDTF">2025-09-05T15:45:00Z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24ef4077-0ea9-4562-b139-164f74e661fd</vt:lpwstr>
  </property>
</Properties>
</file>