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8F8BA" w14:textId="7920CCF1" w:rsidR="00D41EC4" w:rsidRDefault="002B108B">
      <w:r>
        <w:t>12 September 2025</w:t>
      </w:r>
    </w:p>
    <w:p w14:paraId="00B15130" w14:textId="77777777" w:rsidR="002B108B" w:rsidRDefault="002B108B" w:rsidP="002B108B"/>
    <w:p w14:paraId="2D845151" w14:textId="77777777" w:rsidR="002B108B" w:rsidRDefault="002B108B" w:rsidP="002B108B">
      <w:r>
        <w:t xml:space="preserve">Miller v. </w:t>
      </w:r>
      <w:proofErr w:type="spellStart"/>
      <w:r>
        <w:t>Roycroft</w:t>
      </w:r>
      <w:proofErr w:type="spellEnd"/>
    </w:p>
    <w:p w14:paraId="00955BFB" w14:textId="1021E365" w:rsidR="002B108B" w:rsidRDefault="002B108B" w:rsidP="002B108B">
      <w:r>
        <w:t>C</w:t>
      </w:r>
      <w:r w:rsidR="00E07837">
        <w:t>o</w:t>
      </w:r>
      <w:r>
        <w:t>urt: U.S. Court of Appeals for the First Circuit</w:t>
      </w:r>
    </w:p>
    <w:p w14:paraId="12C387F1" w14:textId="77777777" w:rsidR="002B108B" w:rsidRDefault="002B108B" w:rsidP="002B108B">
      <w:r>
        <w:t>Docket: 24-1351</w:t>
      </w:r>
    </w:p>
    <w:p w14:paraId="0B0DFE10" w14:textId="77777777" w:rsidR="002B108B" w:rsidRDefault="002B108B" w:rsidP="002B108B">
      <w:r>
        <w:t>Opinion Date: September 10, 2025</w:t>
      </w:r>
    </w:p>
    <w:p w14:paraId="32D85B18" w14:textId="77777777" w:rsidR="002B108B" w:rsidRDefault="002B108B" w:rsidP="002B108B"/>
    <w:p w14:paraId="312B72CC" w14:textId="77777777" w:rsidR="002B108B" w:rsidRDefault="002B108B" w:rsidP="002B108B">
      <w:r>
        <w:t xml:space="preserve">Judge: </w:t>
      </w:r>
      <w:proofErr w:type="spellStart"/>
      <w:r>
        <w:t>Ojetta</w:t>
      </w:r>
      <w:proofErr w:type="spellEnd"/>
      <w:r>
        <w:t xml:space="preserve"> </w:t>
      </w:r>
      <w:proofErr w:type="spellStart"/>
      <w:r>
        <w:t>Rogeriee</w:t>
      </w:r>
      <w:proofErr w:type="spellEnd"/>
      <w:r>
        <w:t xml:space="preserve"> Thompson</w:t>
      </w:r>
    </w:p>
    <w:p w14:paraId="6ADFD619" w14:textId="77777777" w:rsidR="002B108B" w:rsidRDefault="002B108B" w:rsidP="002B108B"/>
    <w:p w14:paraId="28255CB1" w14:textId="77777777" w:rsidR="002B108B" w:rsidRDefault="002B108B" w:rsidP="002B108B">
      <w:r>
        <w:t>Areas of Law: Civil Rights, Constitutional Law</w:t>
      </w:r>
    </w:p>
    <w:p w14:paraId="3C61C373" w14:textId="77777777" w:rsidR="002B108B" w:rsidRDefault="002B108B" w:rsidP="002B108B"/>
    <w:p w14:paraId="0D93E1C1" w14:textId="77777777" w:rsidR="002B108B" w:rsidRDefault="002B108B" w:rsidP="002B108B">
      <w:r>
        <w:t xml:space="preserve">Robert Miller died at his home in Cape Cod in 2019 following an encounter with Barnstable police officers Sean </w:t>
      </w:r>
      <w:proofErr w:type="spellStart"/>
      <w:r>
        <w:t>Roycroft</w:t>
      </w:r>
      <w:proofErr w:type="spellEnd"/>
      <w:r>
        <w:t xml:space="preserve"> and Spencer Jackson. The officers responded to a 911 call from Miller’s girlfriend, who requested a psychiatric evaluation but did not report any crime. Upon arrival, a struggle ensued as the officers attempted to handcuff Miller, who ended up face-down on the floor with </w:t>
      </w:r>
      <w:proofErr w:type="spellStart"/>
      <w:r>
        <w:t>Roycroft’s</w:t>
      </w:r>
      <w:proofErr w:type="spellEnd"/>
      <w:r>
        <w:t xml:space="preserve"> arm pinned beneath him. During the struggle, Jackson delivered two punches to Miller in an effort to facilitate handcuffing. Miller’s girlfriend witnessed one of the officers drive a knee into Miller’s back and heard Miller say, “I can’t breathe” and “Amy, help me.” After Miller was handcuffed, he became unresponsive and was later pronounced dead. The medical examiner attributed the death to cardiac dysrhythmia in the setting of excited delirium, while the plaintiff’s expert opined that Miller died from prone restraint cardiac arrest due to pressure on his back.</w:t>
      </w:r>
    </w:p>
    <w:p w14:paraId="7D486DD2" w14:textId="77777777" w:rsidR="002B108B" w:rsidRDefault="002B108B" w:rsidP="002B108B"/>
    <w:p w14:paraId="5EAA00C8" w14:textId="77777777" w:rsidR="002B108B" w:rsidRDefault="002B108B" w:rsidP="002B108B">
      <w:r>
        <w:t xml:space="preserve">The plaintiff, Miller’s son, brought a federal excessive force claim under 42 U.S.C. § 1983 against the officers in the United States District Court for the District of Massachusetts. After discovery, the officers moved for summary judgment on qualified immunity grounds. The district judge denied summary judgment, finding that there were genuine disputes of material fact regarding whether the officers used excessive force, particularly after </w:t>
      </w:r>
      <w:proofErr w:type="spellStart"/>
      <w:r>
        <w:t>Roycroft</w:t>
      </w:r>
      <w:proofErr w:type="spellEnd"/>
      <w:r>
        <w:t xml:space="preserve"> freed his arm and Miller was restrained. The judge concluded that clearly established law prohibited kneeling on a restrained person’s back and that a reasonable jury could find the officers’ conduct violated Miller’s constitutional rights.</w:t>
      </w:r>
    </w:p>
    <w:p w14:paraId="3AECDD49" w14:textId="77777777" w:rsidR="002B108B" w:rsidRDefault="002B108B" w:rsidP="002B108B"/>
    <w:p w14:paraId="26B0E5D5" w14:textId="2BF21130" w:rsidR="002B108B" w:rsidRDefault="002B108B" w:rsidP="002B108B">
      <w:r>
        <w:t xml:space="preserve">On appeal, the United States Court of Appeals for the First Circuit reversed the denial of qualified immunity for the officers’ conduct while </w:t>
      </w:r>
      <w:proofErr w:type="spellStart"/>
      <w:r>
        <w:t>Roycroft’s</w:t>
      </w:r>
      <w:proofErr w:type="spellEnd"/>
      <w:r>
        <w:t xml:space="preserve"> arm was pinned (Phase One), affirmed the denial for conduct after Miller was restrained and a knee was placed on his back (Phase Two), and dismissed the appeal in part for fact-based arguments not suitable for interlocutory review. The case was remanded for further proceedings.</w:t>
      </w:r>
    </w:p>
    <w:p w14:paraId="4EDAAD47" w14:textId="626ECF86" w:rsidR="002B108B" w:rsidRDefault="008324EE" w:rsidP="002B108B">
      <w:hyperlink r:id="rId4" w:history="1">
        <w:r w:rsidRPr="00D95902">
          <w:rPr>
            <w:rStyle w:val="Hyperlink"/>
          </w:rPr>
          <w:t>https://cases.justia.com/federal/appellate-courts/ca1/24-1351/24-1351-2025-09-10.pdf</w:t>
        </w:r>
      </w:hyperlink>
    </w:p>
    <w:p w14:paraId="3A80661E" w14:textId="77777777" w:rsidR="008324EE" w:rsidRDefault="008324EE" w:rsidP="002B108B"/>
    <w:p w14:paraId="7C6D595B" w14:textId="77777777" w:rsidR="008324EE" w:rsidRDefault="008324EE" w:rsidP="008324EE">
      <w:r>
        <w:t>United States v. Guard</w:t>
      </w:r>
    </w:p>
    <w:p w14:paraId="0A09F245" w14:textId="77777777" w:rsidR="008324EE" w:rsidRDefault="008324EE" w:rsidP="008324EE"/>
    <w:p w14:paraId="3A9FFE6F" w14:textId="77777777" w:rsidR="008324EE" w:rsidRDefault="008324EE" w:rsidP="008324EE">
      <w:r>
        <w:t>Court: U.S. Court of Appeals for the Second Circuit</w:t>
      </w:r>
    </w:p>
    <w:p w14:paraId="26F0B919" w14:textId="77777777" w:rsidR="008324EE" w:rsidRDefault="008324EE" w:rsidP="008324EE"/>
    <w:p w14:paraId="7BF9C693" w14:textId="77777777" w:rsidR="008324EE" w:rsidRDefault="008324EE" w:rsidP="008324EE">
      <w:r>
        <w:t>Docket: 23-6886</w:t>
      </w:r>
    </w:p>
    <w:p w14:paraId="3843F515" w14:textId="77777777" w:rsidR="008324EE" w:rsidRDefault="008324EE" w:rsidP="008324EE"/>
    <w:p w14:paraId="221DEDE3" w14:textId="77777777" w:rsidR="008324EE" w:rsidRDefault="008324EE" w:rsidP="008324EE">
      <w:r>
        <w:t>Opinion Date: September 10, 2025</w:t>
      </w:r>
    </w:p>
    <w:p w14:paraId="713BED56" w14:textId="77777777" w:rsidR="008324EE" w:rsidRDefault="008324EE" w:rsidP="008324EE"/>
    <w:p w14:paraId="230CEE36" w14:textId="77777777" w:rsidR="008324EE" w:rsidRDefault="008324EE" w:rsidP="008324EE">
      <w:r>
        <w:t>Judge: Sarah Ann Leilani Merriam</w:t>
      </w:r>
    </w:p>
    <w:p w14:paraId="421B4BBC" w14:textId="77777777" w:rsidR="008324EE" w:rsidRDefault="008324EE" w:rsidP="008324EE"/>
    <w:p w14:paraId="2C353507" w14:textId="77777777" w:rsidR="008324EE" w:rsidRDefault="008324EE" w:rsidP="008324EE">
      <w:r>
        <w:t>Areas of Law: Constitutional Law, Criminal Law</w:t>
      </w:r>
    </w:p>
    <w:p w14:paraId="10401D32" w14:textId="77777777" w:rsidR="008324EE" w:rsidRDefault="008324EE" w:rsidP="008324EE"/>
    <w:p w14:paraId="06ACBDDE" w14:textId="77777777" w:rsidR="008324EE" w:rsidRDefault="008324EE" w:rsidP="008324EE">
      <w:r>
        <w:t xml:space="preserve">The case concerns a defendant who was convicted by a jury in the United States District Court for the Northern District of New York of transporting, receiving, and possessing child pornography, all in violation of federal law. The defendant’s conduct involved the use of the Kik messaging application, which uses software to detect and report child sexual abuse material (CSAM) to the National Center for Missing and Exploited Children (NCMEC). Kik’s detection process relies on a database of known CSAM hash values provided by NCMEC. When Kik’s software identifies a match, a designated employee reviews the file and, if confirmed as CSAM, reports it to NCMEC, which then forwards the information to law enforcement. The defendant was linked to the offending accounts through IP address </w:t>
      </w:r>
      <w:r>
        <w:lastRenderedPageBreak/>
        <w:t>records and admitted during a post-arrest interview to using the relevant Kik accounts and sharing child pornography.</w:t>
      </w:r>
    </w:p>
    <w:p w14:paraId="2BFC91B1" w14:textId="77777777" w:rsidR="008324EE" w:rsidRDefault="008324EE" w:rsidP="008324EE"/>
    <w:p w14:paraId="136DF4F1" w14:textId="77777777" w:rsidR="008324EE" w:rsidRDefault="008324EE" w:rsidP="008324EE">
      <w:r>
        <w:t>After his arrest, the defendant moved to suppress evidence obtained from Kik’s searches and his own statements to law enforcement, arguing that Kik acted as an agent of NCMEC, which he claimed was a governmental entity for Fourth Amendment purposes. The United States District Court for the Northern District of New York denied the motion, finding that while NCMEC might be a governmental entity, Kik was not acting as its agent. The court also found that the defendant had validly waived his Miranda rights and that his statements were not coerced. The jury acquitted the defendant on some counts but convicted him on others. The court sentenced him to 151 months in prison and 15 years of supervised release.</w:t>
      </w:r>
    </w:p>
    <w:p w14:paraId="7C5A7985" w14:textId="77777777" w:rsidR="008324EE" w:rsidRDefault="008324EE" w:rsidP="008324EE"/>
    <w:p w14:paraId="634A10F6" w14:textId="35F4D775" w:rsidR="008324EE" w:rsidRDefault="008324EE" w:rsidP="008324EE">
      <w:r>
        <w:t>On appeal, the United States Court of Appeals for the Second Circuit held that NCMEC is a governmental entity for Fourth Amendment purposes, but the defendant failed to show that Kik acted as a governmental agent when it searched his accounts. The court affirmed the denial of the suppression motion, found the evidence sufficient to support the convictions, and upheld the sentence as substantively reasonable. However, the court vacated and remanded in part, instructing the district court to amend the written judgment to conform with its oral pronouncement regarding certain conditions of supervised release.</w:t>
      </w:r>
    </w:p>
    <w:p w14:paraId="7E0C88A4" w14:textId="77777777" w:rsidR="008324EE" w:rsidRDefault="008324EE" w:rsidP="008324EE"/>
    <w:p w14:paraId="3B5DBF5A" w14:textId="3AD94B6B" w:rsidR="008324EE" w:rsidRDefault="008324EE" w:rsidP="008324EE">
      <w:hyperlink r:id="rId5" w:history="1">
        <w:r w:rsidRPr="00D95902">
          <w:rPr>
            <w:rStyle w:val="Hyperlink"/>
          </w:rPr>
          <w:t>https://cases.justia.com/federal/appellate-courts/ca2/23-6886/23-6886-2025-09-10.pdf</w:t>
        </w:r>
      </w:hyperlink>
    </w:p>
    <w:p w14:paraId="5BD54A9F" w14:textId="77777777" w:rsidR="008324EE" w:rsidRDefault="008324EE" w:rsidP="008324EE"/>
    <w:p w14:paraId="7A5524B4" w14:textId="77777777" w:rsidR="007008E2" w:rsidRDefault="007008E2" w:rsidP="007008E2">
      <w:r>
        <w:t>JONES V. CITY OF NORTH LAS VEGAS</w:t>
      </w:r>
    </w:p>
    <w:p w14:paraId="2F6DF983" w14:textId="77777777" w:rsidR="007008E2" w:rsidRDefault="007008E2" w:rsidP="007008E2"/>
    <w:p w14:paraId="2909F4A0" w14:textId="77777777" w:rsidR="007008E2" w:rsidRDefault="007008E2" w:rsidP="007008E2">
      <w:r>
        <w:t>Court: U.S. Court of Appeals for the Ninth Circuit</w:t>
      </w:r>
    </w:p>
    <w:p w14:paraId="7DFA7663" w14:textId="77777777" w:rsidR="007008E2" w:rsidRDefault="007008E2" w:rsidP="007008E2"/>
    <w:p w14:paraId="0C9CB31F" w14:textId="77777777" w:rsidR="007008E2" w:rsidRDefault="007008E2" w:rsidP="007008E2">
      <w:r>
        <w:t>Docket: 24-3374</w:t>
      </w:r>
    </w:p>
    <w:p w14:paraId="7290692D" w14:textId="77777777" w:rsidR="007008E2" w:rsidRDefault="007008E2" w:rsidP="007008E2"/>
    <w:p w14:paraId="291FD70A" w14:textId="77777777" w:rsidR="007008E2" w:rsidRDefault="007008E2" w:rsidP="007008E2">
      <w:r>
        <w:t>Opinion Date: September 8, 2025</w:t>
      </w:r>
    </w:p>
    <w:p w14:paraId="45895F7E" w14:textId="77777777" w:rsidR="007008E2" w:rsidRDefault="007008E2" w:rsidP="007008E2"/>
    <w:p w14:paraId="42213BD7" w14:textId="77777777" w:rsidR="007008E2" w:rsidRDefault="007008E2" w:rsidP="007008E2">
      <w:r>
        <w:lastRenderedPageBreak/>
        <w:t>Judge: Sal Mendoza Jr.</w:t>
      </w:r>
    </w:p>
    <w:p w14:paraId="1001837F" w14:textId="77777777" w:rsidR="007008E2" w:rsidRDefault="007008E2" w:rsidP="007008E2"/>
    <w:p w14:paraId="251E5131" w14:textId="77777777" w:rsidR="007008E2" w:rsidRDefault="007008E2" w:rsidP="007008E2">
      <w:r>
        <w:t>Areas of Law: Civil Rights, Constitutional Law</w:t>
      </w:r>
    </w:p>
    <w:p w14:paraId="171D852B" w14:textId="77777777" w:rsidR="007008E2" w:rsidRDefault="007008E2" w:rsidP="007008E2"/>
    <w:p w14:paraId="628A7738" w14:textId="77777777" w:rsidR="007008E2" w:rsidRDefault="007008E2" w:rsidP="007008E2">
      <w:r>
        <w:t>Two police officers responded to a domestic battery call at a residential home. While one officer spoke with a woman at the door, the other saw a person flee over a backyard wall into a neighboring yard. Instead of immediately pursuing, the officer returned to his car, called for backup, and drove to establish a perimeter. Eighteen minutes later, a K-9 unit arrived and began searching within the perimeter. The K-9 alerted toward the plaintiffs’ backyard, which was locked and posted with a “Beware of Dog” sign. Without a warrant or consent, officers entered the backyard. The plaintiffs’ three dogs were roused, and two of them attacked the police K-9. One officer shot and killed the two dogs. The suspect was never found.</w:t>
      </w:r>
    </w:p>
    <w:p w14:paraId="750C8CD0" w14:textId="77777777" w:rsidR="007008E2" w:rsidRDefault="007008E2" w:rsidP="007008E2"/>
    <w:p w14:paraId="7D82EFDC" w14:textId="77777777" w:rsidR="007008E2" w:rsidRDefault="007008E2" w:rsidP="007008E2">
      <w:r>
        <w:t xml:space="preserve">The United States District Court for the District of Nevada granted summary judgment to the officers and the City of North Las Vegas, finding the officers’ entry justified under the “hot pursuit” exception to the warrant requirement and the use of force against the dogs reasonable. The court also granted summary judgment to the </w:t>
      </w:r>
      <w:proofErr w:type="gramStart"/>
      <w:r>
        <w:t>City</w:t>
      </w:r>
      <w:proofErr w:type="gramEnd"/>
      <w:r>
        <w:t xml:space="preserve"> on the plaintiffs’ </w:t>
      </w:r>
      <w:proofErr w:type="spellStart"/>
      <w:r>
        <w:t>Monell</w:t>
      </w:r>
      <w:proofErr w:type="spellEnd"/>
      <w:r>
        <w:t xml:space="preserve"> claims, and declined to exercise supplemental jurisdiction over the state law claim after dismissing the federal claims.</w:t>
      </w:r>
    </w:p>
    <w:p w14:paraId="2338C522" w14:textId="77777777" w:rsidR="007008E2" w:rsidRDefault="007008E2" w:rsidP="007008E2"/>
    <w:p w14:paraId="162C8431" w14:textId="53EF66B8" w:rsidR="008324EE" w:rsidRDefault="007008E2" w:rsidP="007008E2">
      <w:r>
        <w:t xml:space="preserve">The United States Court of Appeals for the Ninth Circuit reviewed the case. It held that the “hot pursuit” exception did not apply because the officers lost track of the suspect for eighteen minutes, breaking the continuity required for exigent circumstances. Therefore, the officers were not entitled to qualified immunity for the warrantless search. However, the court affirmed qualified immunity for the officer’s use of force against the dogs, finding no clearly established law prohibiting his actions in the spontaneous circumstances. The court also affirmed summary judgment for the City on the </w:t>
      </w:r>
      <w:proofErr w:type="spellStart"/>
      <w:r>
        <w:t>Monell</w:t>
      </w:r>
      <w:proofErr w:type="spellEnd"/>
      <w:r>
        <w:t xml:space="preserve"> claims, finding insufficient evidence of a policy or deliberate indifference. The case was remanded for further proceedings. The disposition was affirmed in part, reversed in part, and remanded.</w:t>
      </w:r>
    </w:p>
    <w:p w14:paraId="36C78CE5" w14:textId="77777777" w:rsidR="007008E2" w:rsidRDefault="007008E2" w:rsidP="007008E2"/>
    <w:p w14:paraId="4487707C" w14:textId="5E1E61D0" w:rsidR="007008E2" w:rsidRDefault="007008E2" w:rsidP="007008E2">
      <w:hyperlink r:id="rId6" w:history="1">
        <w:r w:rsidRPr="00D95902">
          <w:rPr>
            <w:rStyle w:val="Hyperlink"/>
          </w:rPr>
          <w:t>https://cases.justia.com/federal/appellate-courts/ca9/24-3374/24-3374-2025-09-08.pdf</w:t>
        </w:r>
      </w:hyperlink>
    </w:p>
    <w:p w14:paraId="7E736316" w14:textId="77777777" w:rsidR="007008E2" w:rsidRDefault="007008E2" w:rsidP="007008E2"/>
    <w:p w14:paraId="73E5751B" w14:textId="77777777" w:rsidR="00735BE4" w:rsidRDefault="00735BE4" w:rsidP="00735BE4">
      <w:r>
        <w:lastRenderedPageBreak/>
        <w:t>Commonwealth v. Hubbard</w:t>
      </w:r>
    </w:p>
    <w:p w14:paraId="44CA8BAA" w14:textId="77777777" w:rsidR="00735BE4" w:rsidRDefault="00735BE4" w:rsidP="00735BE4"/>
    <w:p w14:paraId="295CC02B" w14:textId="77777777" w:rsidR="00735BE4" w:rsidRDefault="00735BE4" w:rsidP="00735BE4">
      <w:r>
        <w:t>Court: Supreme Court of Virginia</w:t>
      </w:r>
    </w:p>
    <w:p w14:paraId="6644E911" w14:textId="77777777" w:rsidR="00735BE4" w:rsidRDefault="00735BE4" w:rsidP="00735BE4"/>
    <w:p w14:paraId="7CAE1AE5" w14:textId="77777777" w:rsidR="00735BE4" w:rsidRDefault="00735BE4" w:rsidP="00735BE4">
      <w:r>
        <w:t>Docket: 240310</w:t>
      </w:r>
    </w:p>
    <w:p w14:paraId="3E4ACEB5" w14:textId="77777777" w:rsidR="00735BE4" w:rsidRDefault="00735BE4" w:rsidP="00735BE4"/>
    <w:p w14:paraId="56E8D7FC" w14:textId="77777777" w:rsidR="00735BE4" w:rsidRDefault="00735BE4" w:rsidP="00735BE4">
      <w:r>
        <w:t>Opinion Date: September 11, 2025</w:t>
      </w:r>
    </w:p>
    <w:p w14:paraId="3DB2BD68" w14:textId="77777777" w:rsidR="00735BE4" w:rsidRDefault="00735BE4" w:rsidP="00735BE4"/>
    <w:p w14:paraId="0D1916FA" w14:textId="77777777" w:rsidR="00735BE4" w:rsidRDefault="00735BE4" w:rsidP="00735BE4">
      <w:r>
        <w:t>Judge: D. Arthur Kelsey</w:t>
      </w:r>
    </w:p>
    <w:p w14:paraId="16932048" w14:textId="77777777" w:rsidR="00735BE4" w:rsidRDefault="00735BE4" w:rsidP="00735BE4"/>
    <w:p w14:paraId="254A2B1F" w14:textId="77777777" w:rsidR="00735BE4" w:rsidRDefault="00735BE4" w:rsidP="00735BE4">
      <w:r>
        <w:t>Areas of Law: Constitutional Law, Criminal Law</w:t>
      </w:r>
    </w:p>
    <w:p w14:paraId="29650A3F" w14:textId="77777777" w:rsidR="00735BE4" w:rsidRDefault="00735BE4" w:rsidP="00735BE4"/>
    <w:p w14:paraId="2446DF64" w14:textId="77777777" w:rsidR="00735BE4" w:rsidRDefault="00735BE4" w:rsidP="00735BE4">
      <w:r>
        <w:t>A police officer stopped a rental pickup truck driven by the defendant after observing a traffic violation and noticing the vehicle’s dark window tint. Upon approaching, the officer detected the odor of marijuana and learned that the defendant had previously waived his Fourth Amendment rights as part of a plea agreement. After both occupants exited the vehicle, a search revealed marijuana shake and bags containing suspected narcotics. The officer then searched the defendant’s person, finding large amounts of cash and, during a pat-down over the defendant’s underwear, felt a hard object between the defendant’s buttocks and underwear. The defendant resisted as the officer attempted to retrieve the item, which was ultimately removed and found to contain cocaine and crack cocaine. At no point were the defendant’s genitals or buttocks exposed to the public.</w:t>
      </w:r>
    </w:p>
    <w:p w14:paraId="4DF4C443" w14:textId="77777777" w:rsidR="00735BE4" w:rsidRDefault="00735BE4" w:rsidP="00735BE4"/>
    <w:p w14:paraId="421A1C60" w14:textId="77777777" w:rsidR="00735BE4" w:rsidRDefault="00735BE4" w:rsidP="00735BE4">
      <w:r>
        <w:t>The defendant moved to suppress the evidence, arguing the search was an impermissible, warrantless body cavity search under the Fourth Amendment. The Circuit Court of the City of Norfolk denied the motion, finding probable cause and exigent circumstances due to the potential danger of fentanyl and risk of evidence destruction. The defendant was convicted of possession with intent to distribute cocaine. The Court of Appeals of Virginia vacated the conviction, holding that the search was unreasonably intrusive and not justified by exigent circumstances, and that the evidence should have been suppressed.</w:t>
      </w:r>
    </w:p>
    <w:p w14:paraId="7EBF6723" w14:textId="77777777" w:rsidR="00735BE4" w:rsidRDefault="00735BE4" w:rsidP="00735BE4"/>
    <w:p w14:paraId="073F8804" w14:textId="0FE4A8DF" w:rsidR="007008E2" w:rsidRDefault="00735BE4" w:rsidP="00735BE4">
      <w:r>
        <w:lastRenderedPageBreak/>
        <w:t>The Supreme Court of Virginia reviewed the case and reversed the Court of Appeals. It held that the search was reasonable under the Fourth Amendment, given the probable cause for arrest, the manner and location of the search, the risks posed by possible fentanyl exposure, and the need to prevent destruction of evidence. The Court found the search did not constitute a manual body cavity search and was justified as a search incident to arrest. The defendant’s conviction was reinstated.</w:t>
      </w:r>
    </w:p>
    <w:p w14:paraId="774E8AC9" w14:textId="1E7F2D5E" w:rsidR="00735BE4" w:rsidRDefault="00735BE4" w:rsidP="00735BE4">
      <w:hyperlink r:id="rId7" w:history="1">
        <w:r w:rsidRPr="00D95902">
          <w:rPr>
            <w:rStyle w:val="Hyperlink"/>
          </w:rPr>
          <w:t>https://cases.justia.com/virginia/supreme-court/2025-240310.pdf</w:t>
        </w:r>
      </w:hyperlink>
    </w:p>
    <w:p w14:paraId="38165D0C" w14:textId="77777777" w:rsidR="00735BE4" w:rsidRDefault="00735BE4" w:rsidP="00735BE4"/>
    <w:p w14:paraId="69F37A78" w14:textId="77777777" w:rsidR="00735BE4" w:rsidRDefault="00735BE4" w:rsidP="00735BE4">
      <w:r>
        <w:t xml:space="preserve">Feagin v. Mansfield Police </w:t>
      </w:r>
      <w:proofErr w:type="spellStart"/>
      <w:r>
        <w:t>Dep't</w:t>
      </w:r>
      <w:proofErr w:type="spellEnd"/>
    </w:p>
    <w:p w14:paraId="3CAE4DA6" w14:textId="77777777" w:rsidR="00735BE4" w:rsidRDefault="00735BE4" w:rsidP="00735BE4"/>
    <w:p w14:paraId="05E5B40C" w14:textId="77777777" w:rsidR="00735BE4" w:rsidRDefault="00735BE4" w:rsidP="00735BE4">
      <w:r>
        <w:t>Court: U.S. Court of Appeals for the Sixth Circuit</w:t>
      </w:r>
    </w:p>
    <w:p w14:paraId="5838E28F" w14:textId="77777777" w:rsidR="00735BE4" w:rsidRDefault="00735BE4" w:rsidP="00735BE4"/>
    <w:p w14:paraId="19587C9E" w14:textId="77777777" w:rsidR="00735BE4" w:rsidRDefault="00735BE4" w:rsidP="00735BE4">
      <w:r>
        <w:t>Docket: 24-3710</w:t>
      </w:r>
    </w:p>
    <w:p w14:paraId="72B165C1" w14:textId="77777777" w:rsidR="00735BE4" w:rsidRDefault="00735BE4" w:rsidP="00735BE4"/>
    <w:p w14:paraId="1A998B56" w14:textId="77777777" w:rsidR="00735BE4" w:rsidRDefault="00735BE4" w:rsidP="00735BE4">
      <w:r>
        <w:t>Opinion Date: September 11, 2025</w:t>
      </w:r>
    </w:p>
    <w:p w14:paraId="0F831D37" w14:textId="77777777" w:rsidR="00735BE4" w:rsidRDefault="00735BE4" w:rsidP="00735BE4"/>
    <w:p w14:paraId="34047896" w14:textId="77777777" w:rsidR="00735BE4" w:rsidRDefault="00735BE4" w:rsidP="00735BE4">
      <w:r>
        <w:t xml:space="preserve">Judge: Chad </w:t>
      </w:r>
      <w:proofErr w:type="spellStart"/>
      <w:r>
        <w:t>Readler</w:t>
      </w:r>
      <w:proofErr w:type="spellEnd"/>
    </w:p>
    <w:p w14:paraId="2A92CF69" w14:textId="77777777" w:rsidR="00735BE4" w:rsidRDefault="00735BE4" w:rsidP="00735BE4"/>
    <w:p w14:paraId="5D2BBC78" w14:textId="77777777" w:rsidR="00735BE4" w:rsidRDefault="00735BE4" w:rsidP="00735BE4">
      <w:r>
        <w:t>Areas of Law: Civil Rights</w:t>
      </w:r>
    </w:p>
    <w:p w14:paraId="71EA32D0" w14:textId="77777777" w:rsidR="00735BE4" w:rsidRDefault="00735BE4" w:rsidP="00735BE4"/>
    <w:p w14:paraId="40AC52FE" w14:textId="77777777" w:rsidR="00735BE4" w:rsidRDefault="00735BE4" w:rsidP="00735BE4">
      <w:r>
        <w:t>Ulysses Feagin was involved in a police encounter after driving erratically, nearly causing a collision with a marked police cruiser, and subsequently leading officers on a brief pursuit. Upon stopping in a parking lot, Feagin ignored repeated commands to exit his vehicle, rolled up the windows, and appeared to reach toward the center console. When officers attempted to remove him, bullets fell from his pocket, and he physically resisted their efforts. Officer Moore deployed a taser to subdue Feagin, who was then handcuffed and placed in a police cruiser. While detained, Feagin continued to resist by kicking the cruiser’s window, prompting Moore to use pepper spray. A subsequent search of Feagin’s vehicle revealed drugs and firearms, leading to his conviction on multiple charges.</w:t>
      </w:r>
    </w:p>
    <w:p w14:paraId="2DF8B6D0" w14:textId="77777777" w:rsidR="00735BE4" w:rsidRDefault="00735BE4" w:rsidP="00735BE4"/>
    <w:p w14:paraId="398A098D" w14:textId="77777777" w:rsidR="00735BE4" w:rsidRDefault="00735BE4" w:rsidP="00735BE4">
      <w:r>
        <w:lastRenderedPageBreak/>
        <w:t>The United States District Court for the Northern District of Ohio granted summary judgment to the defendants on most claims but denied it on two: Feagin’s excessive force claim related to the use of a taser and his deliberate indifference claim regarding medical care after being pepper sprayed. The district court found a genuine dispute over whether Feagin’s resistance was active or passive at the time of the tasing, but granted summary judgment on the pepper spray claim, citing Feagin’s continued resistance. The deliberate indifference claim was set for trial because defendants had not moved for summary judgment on that issue.</w:t>
      </w:r>
    </w:p>
    <w:p w14:paraId="7F9D44B4" w14:textId="77777777" w:rsidR="00735BE4" w:rsidRDefault="00735BE4" w:rsidP="00735BE4"/>
    <w:p w14:paraId="56506B3A" w14:textId="4F61AF77" w:rsidR="00735BE4" w:rsidRDefault="00735BE4" w:rsidP="00735BE4">
      <w:r>
        <w:t>On appeal, the United States Court of Appeals for the Sixth Circuit reviewed the district court’s decision de novo. The Sixth Circuit reversed the denial of qualified immunity for the excessive force claim, holding that Officer Moore’s use of a taser was reasonable under the circumstances and did not violate clearly established law. The court dismissed the appeal regarding the deliberate indifference claim for lack of jurisdiction, as the issue had not been raised below, and remanded the case for further proceedings.</w:t>
      </w:r>
    </w:p>
    <w:p w14:paraId="07F7687D" w14:textId="1AEBD125" w:rsidR="00735BE4" w:rsidRDefault="00735BE4" w:rsidP="00735BE4">
      <w:hyperlink r:id="rId8" w:history="1">
        <w:r w:rsidRPr="00D95902">
          <w:rPr>
            <w:rStyle w:val="Hyperlink"/>
          </w:rPr>
          <w:t>https://cases.justia.com/federal/appellate-courts/ca6/24-3710/24-3710-2025-09-11.pdf</w:t>
        </w:r>
      </w:hyperlink>
    </w:p>
    <w:p w14:paraId="4F710BD0" w14:textId="77777777" w:rsidR="00735BE4" w:rsidRDefault="00735BE4" w:rsidP="00735BE4"/>
    <w:p w14:paraId="62B36B8D" w14:textId="77777777" w:rsidR="00735BE4" w:rsidRDefault="00735BE4" w:rsidP="00735BE4">
      <w:r>
        <w:t>Sumrall v. Georgia Department of Corrections</w:t>
      </w:r>
    </w:p>
    <w:p w14:paraId="1831E707" w14:textId="77777777" w:rsidR="00735BE4" w:rsidRDefault="00735BE4" w:rsidP="00735BE4"/>
    <w:p w14:paraId="4D78B31C" w14:textId="77777777" w:rsidR="00735BE4" w:rsidRDefault="00735BE4" w:rsidP="00735BE4">
      <w:r>
        <w:t>Court: U.S. Court of Appeals for the Eleventh Circuit</w:t>
      </w:r>
    </w:p>
    <w:p w14:paraId="2A7C2286" w14:textId="77777777" w:rsidR="00735BE4" w:rsidRDefault="00735BE4" w:rsidP="00735BE4"/>
    <w:p w14:paraId="774530FD" w14:textId="77777777" w:rsidR="00735BE4" w:rsidRDefault="00735BE4" w:rsidP="00735BE4">
      <w:r>
        <w:t>Docket: 23-11783</w:t>
      </w:r>
    </w:p>
    <w:p w14:paraId="34755099" w14:textId="77777777" w:rsidR="00735BE4" w:rsidRDefault="00735BE4" w:rsidP="00735BE4"/>
    <w:p w14:paraId="13A1CCA2" w14:textId="77777777" w:rsidR="00735BE4" w:rsidRDefault="00735BE4" w:rsidP="00735BE4">
      <w:r>
        <w:t>Opinion Date: September 9, 2025</w:t>
      </w:r>
    </w:p>
    <w:p w14:paraId="41342E88" w14:textId="77777777" w:rsidR="00735BE4" w:rsidRDefault="00735BE4" w:rsidP="00735BE4"/>
    <w:p w14:paraId="09E9DC6B" w14:textId="77777777" w:rsidR="00735BE4" w:rsidRDefault="00735BE4" w:rsidP="00735BE4">
      <w:r>
        <w:t>Judge: Britt Grant</w:t>
      </w:r>
    </w:p>
    <w:p w14:paraId="6BB9B382" w14:textId="77777777" w:rsidR="00735BE4" w:rsidRDefault="00735BE4" w:rsidP="00735BE4"/>
    <w:p w14:paraId="4E287CBC" w14:textId="77777777" w:rsidR="00735BE4" w:rsidRDefault="00735BE4" w:rsidP="00735BE4">
      <w:r>
        <w:t>Areas of Law: Civil Rights, Government &amp; Administrative Law</w:t>
      </w:r>
    </w:p>
    <w:p w14:paraId="0246118A" w14:textId="77777777" w:rsidR="00735BE4" w:rsidRDefault="00735BE4" w:rsidP="00735BE4"/>
    <w:p w14:paraId="551B9B6C" w14:textId="77777777" w:rsidR="00735BE4" w:rsidRDefault="00735BE4" w:rsidP="00735BE4">
      <w:r>
        <w:lastRenderedPageBreak/>
        <w:t>An inmate in Georgia, who practices veganism as part of his religious beliefs, was enrolled in a prison program that provided vegan meals to accommodate religious diets. He was removed from this program twice after prison officials discovered he had purchased non-vegan food items from the prison store, such as chicken soup and Cheetos. The inmate claimed he bought these items to sell to other prisoners and would have stopped if he had known it could result in removal from the program. At the time of his removals, the prison’s policy did not explicitly list non-vegan purchases as grounds for removal, though this was later added. The inmate also alleged that only Black inmates were removed from the program, while similarly situated white inmates were not.</w:t>
      </w:r>
    </w:p>
    <w:p w14:paraId="1F26523C" w14:textId="77777777" w:rsidR="00735BE4" w:rsidRDefault="00735BE4" w:rsidP="00735BE4"/>
    <w:p w14:paraId="1C2D83AB" w14:textId="77777777" w:rsidR="00735BE4" w:rsidRDefault="00735BE4" w:rsidP="00735BE4">
      <w:r>
        <w:t>The United States District Court for the Middle District of Georgia granted summary judgment to the prison officials on the inmate’s claims under the First, Eighth, and Fourteenth Amendments, as well as most of his claims under the Religious Land Use and Institutionalized Persons Act (RLUIPA). The court found that the officials were entitled to qualified immunity on the First Amendment and due process claims, that there was no evidence of discriminatory intent or similarly situated comparators for the equal protection claim, and that the non-vegan meals provided were nutritionally adequate. The court also dismissed the remaining RLUIPA claim as moot after the inmate was reenrolled in the vegan meal program.</w:t>
      </w:r>
    </w:p>
    <w:p w14:paraId="1920EF9F" w14:textId="77777777" w:rsidR="00735BE4" w:rsidRDefault="00735BE4" w:rsidP="00735BE4"/>
    <w:p w14:paraId="58424DD9" w14:textId="1F955897" w:rsidR="00735BE4" w:rsidRDefault="00735BE4" w:rsidP="00735BE4">
      <w:r>
        <w:t>The United States Court of Appeals for the Eleventh Circuit reviewed the case and affirmed the district court’s decision. The appellate court held that the officials were entitled to qualified immunity, that there was insufficient evidence to support the equal protection and Eighth Amendment claims, and that the RLUIPA claims either failed on the merits or were moot because the inmate had been reinstated in the vegan meal program.</w:t>
      </w:r>
    </w:p>
    <w:p w14:paraId="702D562C" w14:textId="33EEE79E" w:rsidR="00735BE4" w:rsidRDefault="00735BE4" w:rsidP="00735BE4">
      <w:hyperlink r:id="rId9" w:history="1">
        <w:r w:rsidRPr="00D95902">
          <w:rPr>
            <w:rStyle w:val="Hyperlink"/>
          </w:rPr>
          <w:t>https://cases.justia.com/federal/appellate-courts/ca11/23-11783/23-11783-2025-09-09.pdf</w:t>
        </w:r>
      </w:hyperlink>
      <w:r>
        <w:t xml:space="preserve"> </w:t>
      </w:r>
    </w:p>
    <w:p w14:paraId="2C642159" w14:textId="77777777" w:rsidR="00735BE4" w:rsidRDefault="00735BE4" w:rsidP="00735BE4"/>
    <w:p w14:paraId="3876136A" w14:textId="77777777" w:rsidR="00735BE4" w:rsidRDefault="00735BE4" w:rsidP="00735BE4"/>
    <w:p w14:paraId="0CDF0389" w14:textId="77777777" w:rsidR="00735BE4" w:rsidRDefault="00735BE4" w:rsidP="00735BE4"/>
    <w:p w14:paraId="612FB896" w14:textId="77777777" w:rsidR="00735BE4" w:rsidRDefault="00735BE4" w:rsidP="00735BE4"/>
    <w:p w14:paraId="20A5F7C3" w14:textId="77777777" w:rsidR="00735BE4" w:rsidRDefault="00735BE4" w:rsidP="00735BE4"/>
    <w:p w14:paraId="24FFE05C" w14:textId="77777777" w:rsidR="00735BE4" w:rsidRDefault="00735BE4" w:rsidP="00735BE4"/>
    <w:p w14:paraId="78A827C6" w14:textId="77777777" w:rsidR="00735BE4" w:rsidRDefault="00735BE4" w:rsidP="00735BE4"/>
    <w:p w14:paraId="7BC11DA9" w14:textId="77777777" w:rsidR="00735BE4" w:rsidRDefault="00735BE4" w:rsidP="00735BE4"/>
    <w:p w14:paraId="09D7BAFC" w14:textId="77777777" w:rsidR="00735BE4" w:rsidRDefault="00735BE4" w:rsidP="00735BE4"/>
    <w:p w14:paraId="6007C692" w14:textId="77777777" w:rsidR="002B108B" w:rsidRDefault="002B108B" w:rsidP="002B108B"/>
    <w:p w14:paraId="7BB93105" w14:textId="77777777" w:rsidR="002B108B" w:rsidRDefault="002B108B" w:rsidP="002B108B"/>
    <w:sectPr w:rsidR="002B1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8B"/>
    <w:rsid w:val="002B108B"/>
    <w:rsid w:val="002F14DC"/>
    <w:rsid w:val="004E3816"/>
    <w:rsid w:val="00570746"/>
    <w:rsid w:val="007008E2"/>
    <w:rsid w:val="00735BE4"/>
    <w:rsid w:val="008324EE"/>
    <w:rsid w:val="00D41EC4"/>
    <w:rsid w:val="00E07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7FC4"/>
  <w15:chartTrackingRefBased/>
  <w15:docId w15:val="{9A13534A-C1B4-49EE-B98C-CCDE9861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08B"/>
    <w:rPr>
      <w:rFonts w:eastAsiaTheme="majorEastAsia" w:cstheme="majorBidi"/>
      <w:color w:val="272727" w:themeColor="text1" w:themeTint="D8"/>
    </w:rPr>
  </w:style>
  <w:style w:type="paragraph" w:styleId="Title">
    <w:name w:val="Title"/>
    <w:basedOn w:val="Normal"/>
    <w:next w:val="Normal"/>
    <w:link w:val="TitleChar"/>
    <w:uiPriority w:val="10"/>
    <w:qFormat/>
    <w:rsid w:val="002B1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08B"/>
    <w:pPr>
      <w:spacing w:before="160"/>
      <w:jc w:val="center"/>
    </w:pPr>
    <w:rPr>
      <w:i/>
      <w:iCs/>
      <w:color w:val="404040" w:themeColor="text1" w:themeTint="BF"/>
    </w:rPr>
  </w:style>
  <w:style w:type="character" w:customStyle="1" w:styleId="QuoteChar">
    <w:name w:val="Quote Char"/>
    <w:basedOn w:val="DefaultParagraphFont"/>
    <w:link w:val="Quote"/>
    <w:uiPriority w:val="29"/>
    <w:rsid w:val="002B108B"/>
    <w:rPr>
      <w:i/>
      <w:iCs/>
      <w:color w:val="404040" w:themeColor="text1" w:themeTint="BF"/>
    </w:rPr>
  </w:style>
  <w:style w:type="paragraph" w:styleId="ListParagraph">
    <w:name w:val="List Paragraph"/>
    <w:basedOn w:val="Normal"/>
    <w:uiPriority w:val="34"/>
    <w:qFormat/>
    <w:rsid w:val="002B108B"/>
    <w:pPr>
      <w:ind w:left="720"/>
      <w:contextualSpacing/>
    </w:pPr>
  </w:style>
  <w:style w:type="character" w:styleId="IntenseEmphasis">
    <w:name w:val="Intense Emphasis"/>
    <w:basedOn w:val="DefaultParagraphFont"/>
    <w:uiPriority w:val="21"/>
    <w:qFormat/>
    <w:rsid w:val="002B108B"/>
    <w:rPr>
      <w:i/>
      <w:iCs/>
      <w:color w:val="0F4761" w:themeColor="accent1" w:themeShade="BF"/>
    </w:rPr>
  </w:style>
  <w:style w:type="paragraph" w:styleId="IntenseQuote">
    <w:name w:val="Intense Quote"/>
    <w:basedOn w:val="Normal"/>
    <w:next w:val="Normal"/>
    <w:link w:val="IntenseQuoteChar"/>
    <w:uiPriority w:val="30"/>
    <w:qFormat/>
    <w:rsid w:val="002B1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08B"/>
    <w:rPr>
      <w:i/>
      <w:iCs/>
      <w:color w:val="0F4761" w:themeColor="accent1" w:themeShade="BF"/>
    </w:rPr>
  </w:style>
  <w:style w:type="character" w:styleId="IntenseReference">
    <w:name w:val="Intense Reference"/>
    <w:basedOn w:val="DefaultParagraphFont"/>
    <w:uiPriority w:val="32"/>
    <w:qFormat/>
    <w:rsid w:val="002B108B"/>
    <w:rPr>
      <w:b/>
      <w:bCs/>
      <w:smallCaps/>
      <w:color w:val="0F4761" w:themeColor="accent1" w:themeShade="BF"/>
      <w:spacing w:val="5"/>
    </w:rPr>
  </w:style>
  <w:style w:type="character" w:styleId="Hyperlink">
    <w:name w:val="Hyperlink"/>
    <w:basedOn w:val="DefaultParagraphFont"/>
    <w:uiPriority w:val="99"/>
    <w:unhideWhenUsed/>
    <w:rsid w:val="008324EE"/>
    <w:rPr>
      <w:color w:val="467886" w:themeColor="hyperlink"/>
      <w:u w:val="single"/>
    </w:rPr>
  </w:style>
  <w:style w:type="character" w:styleId="UnresolvedMention">
    <w:name w:val="Unresolved Mention"/>
    <w:basedOn w:val="DefaultParagraphFont"/>
    <w:uiPriority w:val="99"/>
    <w:semiHidden/>
    <w:unhideWhenUsed/>
    <w:rsid w:val="00832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6/24-3710/24-3710-2025-09-11.pdf" TargetMode="External"/><Relationship Id="rId3" Type="http://schemas.openxmlformats.org/officeDocument/2006/relationships/webSettings" Target="webSettings.xml"/><Relationship Id="rId7" Type="http://schemas.openxmlformats.org/officeDocument/2006/relationships/hyperlink" Target="https://cases.justia.com/virginia/supreme-court/2025-240310.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9/24-3374/24-3374-2025-09-08.pdf" TargetMode="External"/><Relationship Id="rId11" Type="http://schemas.openxmlformats.org/officeDocument/2006/relationships/theme" Target="theme/theme1.xml"/><Relationship Id="rId5" Type="http://schemas.openxmlformats.org/officeDocument/2006/relationships/hyperlink" Target="https://cases.justia.com/federal/appellate-courts/ca2/23-6886/23-6886-2025-09-10.pdf" TargetMode="External"/><Relationship Id="rId10" Type="http://schemas.openxmlformats.org/officeDocument/2006/relationships/fontTable" Target="fontTable.xml"/><Relationship Id="rId4" Type="http://schemas.openxmlformats.org/officeDocument/2006/relationships/hyperlink" Target="https://cases.justia.com/federal/appellate-courts/ca1/24-1351/24-1351-2025-09-10.pdf" TargetMode="External"/><Relationship Id="rId9" Type="http://schemas.openxmlformats.org/officeDocument/2006/relationships/hyperlink" Target="https://cases.justia.com/federal/appellate-courts/ca11/23-11783/23-11783-2025-09-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2166</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2</cp:revision>
  <dcterms:created xsi:type="dcterms:W3CDTF">2025-09-16T16:04:00Z</dcterms:created>
  <dcterms:modified xsi:type="dcterms:W3CDTF">2025-09-16T16:40:00Z</dcterms:modified>
</cp:coreProperties>
</file>