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83586" w14:textId="0D7449AF" w:rsidR="00D41EC4" w:rsidRDefault="000C450A">
      <w:r>
        <w:t>CASES 26SEP2025</w:t>
      </w:r>
    </w:p>
    <w:p w14:paraId="1F797B12" w14:textId="77777777" w:rsidR="000C450A" w:rsidRDefault="000C450A"/>
    <w:p w14:paraId="754A6840" w14:textId="77777777" w:rsidR="003D32E0" w:rsidRDefault="003D32E0" w:rsidP="003D32E0">
      <w:r>
        <w:t>United States v. Schmitz</w:t>
      </w:r>
    </w:p>
    <w:p w14:paraId="428E5231" w14:textId="77777777" w:rsidR="003D32E0" w:rsidRDefault="003D32E0" w:rsidP="003D32E0"/>
    <w:p w14:paraId="68F3EDDA" w14:textId="77777777" w:rsidR="003D32E0" w:rsidRDefault="003D32E0" w:rsidP="003D32E0">
      <w:r>
        <w:t>Court: U.S. Court of Appeals for the Eleventh Circuit</w:t>
      </w:r>
    </w:p>
    <w:p w14:paraId="70F8AC0B" w14:textId="77777777" w:rsidR="003D32E0" w:rsidRDefault="003D32E0" w:rsidP="003D32E0"/>
    <w:p w14:paraId="0EED18C3" w14:textId="77777777" w:rsidR="003D32E0" w:rsidRDefault="003D32E0" w:rsidP="003D32E0">
      <w:r>
        <w:t>Docket: 24-11157</w:t>
      </w:r>
    </w:p>
    <w:p w14:paraId="38DBA092" w14:textId="77777777" w:rsidR="003D32E0" w:rsidRDefault="003D32E0" w:rsidP="003D32E0"/>
    <w:p w14:paraId="5CABCF90" w14:textId="77777777" w:rsidR="003D32E0" w:rsidRDefault="003D32E0" w:rsidP="003D32E0">
      <w:r>
        <w:t>Opinion Date: September 25, 2025</w:t>
      </w:r>
    </w:p>
    <w:p w14:paraId="4646AEF0" w14:textId="77777777" w:rsidR="003D32E0" w:rsidRDefault="003D32E0" w:rsidP="003D32E0"/>
    <w:p w14:paraId="20B20F0C" w14:textId="77777777" w:rsidR="003D32E0" w:rsidRDefault="003D32E0" w:rsidP="003D32E0">
      <w:r>
        <w:t>Judge: Elizabeth L. Branch</w:t>
      </w:r>
    </w:p>
    <w:p w14:paraId="69F7FB60" w14:textId="77777777" w:rsidR="003D32E0" w:rsidRDefault="003D32E0" w:rsidP="003D32E0"/>
    <w:p w14:paraId="69737EAB" w14:textId="77777777" w:rsidR="003D32E0" w:rsidRDefault="003D32E0" w:rsidP="003D32E0">
      <w:r>
        <w:t>Areas of Law: Constitutional Law, Criminal Law</w:t>
      </w:r>
    </w:p>
    <w:p w14:paraId="0ECF5C70" w14:textId="77777777" w:rsidR="003D32E0" w:rsidRDefault="003D32E0" w:rsidP="003D32E0"/>
    <w:p w14:paraId="4419E0E5" w14:textId="77777777" w:rsidR="003D32E0" w:rsidRDefault="003D32E0" w:rsidP="003D32E0">
      <w:r>
        <w:t>Law enforcement officers obtained and executed a search warrant for “4279 Violet Circle, Lake Worth, FL,” believing it to be a single-family home occupied by the defendant. In reality, the property included a main residence and three efficiency apartments at the back, one of which was occupied by the defendant. These apartments had no separate addresses, mailboxes, or exterior markings. During the search, officers were directed by other residents to the defendant’s apartment, where they found firearms and drugs. The defendant was subsequently charged with multiple firearm and drug offenses.</w:t>
      </w:r>
    </w:p>
    <w:p w14:paraId="2FD5917A" w14:textId="77777777" w:rsidR="003D32E0" w:rsidRDefault="003D32E0" w:rsidP="003D32E0"/>
    <w:p w14:paraId="2F3AB875" w14:textId="77777777" w:rsidR="003D32E0" w:rsidRDefault="003D32E0" w:rsidP="003D32E0">
      <w:r>
        <w:t xml:space="preserve">The defendant moved to suppress the evidence, arguing that the warrant was defective under the Fourth Amendment because it listed only the main address and not his specific apartment. The United States District Court for the Southern District of Florida held an evidentiary hearing, credited the testimony of the investigating officer, and found that the officers reasonably believed the property was a single-family home based on surveillance, property records, and the lack of distinguishing features for the apartments. The magistrate judge recommended denying the motion to suppress, and the district court adopted this </w:t>
      </w:r>
      <w:r>
        <w:lastRenderedPageBreak/>
        <w:t>recommendation. The defendant was found guilty after a stipulated-facts bench trial and sentenced to 144 months’ imprisonment.</w:t>
      </w:r>
    </w:p>
    <w:p w14:paraId="7AC330C0" w14:textId="77777777" w:rsidR="003D32E0" w:rsidRDefault="003D32E0" w:rsidP="003D32E0"/>
    <w:p w14:paraId="66F0E9FB" w14:textId="2D322432" w:rsidR="000C450A" w:rsidRDefault="003D32E0" w:rsidP="003D32E0">
      <w:r>
        <w:t>On appeal, the United States Court of Appeals for the Eleventh Circuit reviewed the denial of the motion to suppress. The court held that the search warrant satisfied the Fourth Amendment’s particularity requirement because the officers reasonably believed, after a diligent investigation, that the property was a single-family home. The court found no evidence that the officers knew or should have known about the separate apartments before executing the warrant. The court affirmed the denial of the motion to suppress and remanded for correction of a clerical error in the judgment.</w:t>
      </w:r>
    </w:p>
    <w:p w14:paraId="51F7C51B" w14:textId="29CE1CD4" w:rsidR="003D32E0" w:rsidRDefault="003D32E0" w:rsidP="003D32E0">
      <w:hyperlink r:id="rId4" w:history="1">
        <w:r w:rsidRPr="00E50AAC">
          <w:rPr>
            <w:rStyle w:val="Hyperlink"/>
          </w:rPr>
          <w:t>https://cases.justia.com/federal/appellate-courts/ca11/24-11157/24-11157-2025-09-25.pdf</w:t>
        </w:r>
      </w:hyperlink>
    </w:p>
    <w:p w14:paraId="70D6F0EE" w14:textId="77777777" w:rsidR="003D32E0" w:rsidRDefault="003D32E0" w:rsidP="003D32E0"/>
    <w:p w14:paraId="1F6FA214" w14:textId="77777777" w:rsidR="00FF3704" w:rsidRPr="00FF3704" w:rsidRDefault="00FF3704" w:rsidP="00FF3704">
      <w:pPr>
        <w:rPr>
          <w:b/>
          <w:bCs/>
        </w:rPr>
      </w:pPr>
      <w:r w:rsidRPr="00FF3704">
        <w:rPr>
          <w:b/>
          <w:bCs/>
        </w:rPr>
        <w:t>Watkins v. Davis</w:t>
      </w:r>
    </w:p>
    <w:p w14:paraId="3FD8F509" w14:textId="77777777" w:rsidR="00FF3704" w:rsidRDefault="00FF3704" w:rsidP="00FF3704">
      <w:r>
        <w:t>Court: U.S. Court of Appeals for the Eleventh Circuit</w:t>
      </w:r>
    </w:p>
    <w:p w14:paraId="2283B92D" w14:textId="77777777" w:rsidR="00FF3704" w:rsidRDefault="00FF3704" w:rsidP="00FF3704">
      <w:r>
        <w:t>Docket: 23-13616</w:t>
      </w:r>
    </w:p>
    <w:p w14:paraId="3637307B" w14:textId="77777777" w:rsidR="00FF3704" w:rsidRDefault="00FF3704" w:rsidP="00FF3704">
      <w:r>
        <w:t>Opinion Date: September 25, 2025</w:t>
      </w:r>
    </w:p>
    <w:p w14:paraId="7E4B9E42" w14:textId="77777777" w:rsidR="00FF3704" w:rsidRDefault="00FF3704" w:rsidP="00FF3704"/>
    <w:p w14:paraId="36033BB8" w14:textId="77777777" w:rsidR="00FF3704" w:rsidRDefault="00FF3704" w:rsidP="00FF3704">
      <w:r>
        <w:t>Judge: Robin Rosenbaum</w:t>
      </w:r>
    </w:p>
    <w:p w14:paraId="3516D17E" w14:textId="77777777" w:rsidR="00FF3704" w:rsidRDefault="00FF3704" w:rsidP="00FF3704"/>
    <w:p w14:paraId="476FABD6" w14:textId="77777777" w:rsidR="00FF3704" w:rsidRDefault="00FF3704" w:rsidP="00FF3704">
      <w:r>
        <w:t>Areas of Law: Civil Rights</w:t>
      </w:r>
    </w:p>
    <w:p w14:paraId="221FFB26" w14:textId="77777777" w:rsidR="00FF3704" w:rsidRDefault="00FF3704" w:rsidP="00FF3704"/>
    <w:p w14:paraId="3FF2A271" w14:textId="77777777" w:rsidR="00FF3704" w:rsidRDefault="00FF3704" w:rsidP="00FF3704">
      <w:r>
        <w:t>A woman was working late at her place of employment, a business located in a commercial cul-de-sac, when she was approached at night by two individuals carrying flashlights. Fearing for her safety, as she did not know they were police officers and they did not identify themselves, she attempted to drive away. The officers, who were investigating a report of a possible break-in at a different address in the same cul-de-sac, fired their weapons at her vehicle as she drove up the driveway. The woman was not physically harmed, but her car was struck by bullets and later declared a total loss. She was detained in a police cruiser for several hours before being released without charges.</w:t>
      </w:r>
    </w:p>
    <w:p w14:paraId="5A4EA762" w14:textId="77777777" w:rsidR="00FF3704" w:rsidRDefault="00FF3704" w:rsidP="00FF3704"/>
    <w:p w14:paraId="16784EBE" w14:textId="77777777" w:rsidR="00FF3704" w:rsidRDefault="00FF3704" w:rsidP="00FF3704">
      <w:r>
        <w:lastRenderedPageBreak/>
        <w:t>The United States District Court for the Northern District of Georgia reviewed the woman’s claims under 42 U.S.C. § 1983, alleging unlawful seizure, excessive force, and unlawful property seizure in violation of the Fourth Amendment. The district court granted summary judgment to the officers on state-law claims but denied summary judgment on the federal claims, finding that a reasonable jury could conclude the officers lacked reasonable suspicion or probable cause, and that their actions violated clearly established law. The officers appealed, arguing they were entitled to qualified immunity.</w:t>
      </w:r>
    </w:p>
    <w:p w14:paraId="20719755" w14:textId="77777777" w:rsidR="00FF3704" w:rsidRDefault="00FF3704" w:rsidP="00FF3704"/>
    <w:p w14:paraId="706C564C" w14:textId="40C75638" w:rsidR="00FF3704" w:rsidRDefault="00FF3704" w:rsidP="00FF3704">
      <w:r>
        <w:t>The United States Court of Appeals for the Eleventh Circuit affirmed the district court’s denial of qualified immunity. The court held that the officers seized the plaintiff both by physical force (when they shot her car) and by a show of authority, that no reasonable officer could have believed there was reasonable suspicion or probable cause to seize or shoot at her, and that the warrantless seizure of her vehicle was not justified by exigent circumstances. The case was remanded for further proceedings.</w:t>
      </w:r>
    </w:p>
    <w:p w14:paraId="79229E84" w14:textId="38234F51" w:rsidR="00FF3704" w:rsidRDefault="00FF3704" w:rsidP="00FF3704">
      <w:hyperlink r:id="rId5" w:history="1">
        <w:r w:rsidRPr="00E50AAC">
          <w:rPr>
            <w:rStyle w:val="Hyperlink"/>
          </w:rPr>
          <w:t>https://cases.justia.com/federal/appellate-courts/ca11/23-13616/23-13616-2025-09-25.pdf</w:t>
        </w:r>
      </w:hyperlink>
      <w:r>
        <w:t xml:space="preserve"> </w:t>
      </w:r>
    </w:p>
    <w:p w14:paraId="61EC95ED" w14:textId="77777777" w:rsidR="00FF3704" w:rsidRDefault="00FF3704" w:rsidP="00FF3704"/>
    <w:p w14:paraId="6565FFE9" w14:textId="77777777" w:rsidR="00FF3704" w:rsidRDefault="00FF3704" w:rsidP="00FF3704"/>
    <w:p w14:paraId="43A0EFE4" w14:textId="77777777" w:rsidR="00FF3704" w:rsidRDefault="00FF3704" w:rsidP="00FF3704"/>
    <w:p w14:paraId="629302C5" w14:textId="15178DA0" w:rsidR="00FF3704" w:rsidRDefault="00FF3704" w:rsidP="00FF3704">
      <w:r>
        <w:t>State v. Falcon</w:t>
      </w:r>
    </w:p>
    <w:p w14:paraId="3CDE2E89" w14:textId="77777777" w:rsidR="00FF3704" w:rsidRDefault="00FF3704" w:rsidP="00FF3704"/>
    <w:p w14:paraId="32AC17FC" w14:textId="77777777" w:rsidR="00FF3704" w:rsidRDefault="00FF3704" w:rsidP="00FF3704">
      <w:r>
        <w:t>Court: Nebraska Supreme Court</w:t>
      </w:r>
    </w:p>
    <w:p w14:paraId="7D2553CF" w14:textId="77777777" w:rsidR="00FF3704" w:rsidRDefault="00FF3704" w:rsidP="00FF3704">
      <w:r>
        <w:t>Citation: 319 Neb. 911</w:t>
      </w:r>
    </w:p>
    <w:p w14:paraId="3EF78DFA" w14:textId="77777777" w:rsidR="00FF3704" w:rsidRDefault="00FF3704" w:rsidP="00FF3704">
      <w:r>
        <w:t>Opinion Date: September 19, 2025</w:t>
      </w:r>
    </w:p>
    <w:p w14:paraId="2528E3CD" w14:textId="77777777" w:rsidR="00FF3704" w:rsidRDefault="00FF3704" w:rsidP="00FF3704"/>
    <w:p w14:paraId="5B8A4124" w14:textId="055EE94D" w:rsidR="00FF3704" w:rsidRDefault="00FF3704" w:rsidP="00FF3704">
      <w:r>
        <w:t xml:space="preserve">Judge: Jason </w:t>
      </w:r>
      <w:proofErr w:type="spellStart"/>
      <w:r>
        <w:t>Bergevin</w:t>
      </w:r>
      <w:proofErr w:type="spellEnd"/>
    </w:p>
    <w:p w14:paraId="61F1F205" w14:textId="77777777" w:rsidR="00FF3704" w:rsidRDefault="00FF3704" w:rsidP="00FF3704"/>
    <w:p w14:paraId="19DE91E5" w14:textId="77777777" w:rsidR="00FF3704" w:rsidRDefault="00FF3704" w:rsidP="00FF3704">
      <w:r>
        <w:t>Areas of Law: Constitutional Law, Criminal Law</w:t>
      </w:r>
    </w:p>
    <w:p w14:paraId="0A8FBD22" w14:textId="77777777" w:rsidR="00FF3704" w:rsidRDefault="00FF3704" w:rsidP="00FF3704"/>
    <w:p w14:paraId="47578B02" w14:textId="77777777" w:rsidR="00FF3704" w:rsidRDefault="00FF3704" w:rsidP="00FF3704">
      <w:r>
        <w:lastRenderedPageBreak/>
        <w:t>The case involved a defendant who was convicted of possession of a firearm by a prohibited person and first-offense driving under the influence. The defendant, who had a prior felony conviction, was found driving a borrowed vehicle that became stuck on railroad tracks. Law enforcement responded, conducted DUI tests, and allowed a passenger to search the vehicle for his keys and phone due to extreme cold. During this search, an officer assisted and discovered a firearm in the center console. The prosecution also introduced Facebook messages, purportedly sent by the defendant, to establish knowing possession of the firearm.</w:t>
      </w:r>
    </w:p>
    <w:p w14:paraId="047C9469" w14:textId="77777777" w:rsidR="00FF3704" w:rsidRDefault="00FF3704" w:rsidP="00FF3704"/>
    <w:p w14:paraId="3A563AF7" w14:textId="77777777" w:rsidR="00FF3704" w:rsidRDefault="00FF3704" w:rsidP="00FF3704">
      <w:r>
        <w:t>The District Court for Lancaster County denied the defendant’s motion to suppress evidence of the firearm, finding that the officer had probable cause to search the vehicle based on the odor of marijuana. The court also admitted the Facebook messages into evidence, overruling objections regarding foundation, hearsay, and the Confrontation Clause. On appeal, the Nebraska Court of Appeals affirmed the convictions, concluding that the search was constitutional under both the consent and automobile exceptions to the warrant requirement, and that the Facebook messages were properly authenticated and admissible.</w:t>
      </w:r>
    </w:p>
    <w:p w14:paraId="1920DFC3" w14:textId="77777777" w:rsidR="00FF3704" w:rsidRDefault="00FF3704" w:rsidP="00FF3704"/>
    <w:p w14:paraId="55BE6CBE" w14:textId="1D350100" w:rsidR="003D32E0" w:rsidRDefault="00FF3704" w:rsidP="00FF3704">
      <w:r>
        <w:t>The Nebraska Supreme Court reviewed the case, focusing on the admissibility of the firearm and Facebook messages. The court held that the officer’s search was reasonable under the Fourth Amendment as a community caretaking function, not based on the passenger’s consent or the automobile exception. The court also held that user-generated social media records are not self-authenticating business records under Nebraska’s evidence rules, but found that the Facebook messages were sufficiently authenticated and admissible as statements by a party opponent. The court further found no Confrontation Clause violation. The judgment of the Court of Appeals affirming the convictions was affirmed.</w:t>
      </w:r>
    </w:p>
    <w:p w14:paraId="0BBBD1EA" w14:textId="7FC25A06" w:rsidR="00FF3704" w:rsidRDefault="00FF3704" w:rsidP="00FF3704">
      <w:hyperlink r:id="rId6" w:history="1">
        <w:r w:rsidRPr="00E50AAC">
          <w:rPr>
            <w:rStyle w:val="Hyperlink"/>
          </w:rPr>
          <w:t>https://cases.justia.com/nebraska/supreme-court/2025-s-23-953.pdf</w:t>
        </w:r>
      </w:hyperlink>
    </w:p>
    <w:p w14:paraId="3F905F89" w14:textId="77777777" w:rsidR="00FF3704" w:rsidRDefault="00FF3704" w:rsidP="00FF3704"/>
    <w:p w14:paraId="51EF56E6" w14:textId="77777777" w:rsidR="00007EDB" w:rsidRDefault="00007EDB" w:rsidP="00007EDB">
      <w:r>
        <w:t>HUDSON v. STATE OF ARKANSAS</w:t>
      </w:r>
    </w:p>
    <w:p w14:paraId="65E58739" w14:textId="77777777" w:rsidR="00007EDB" w:rsidRDefault="00007EDB" w:rsidP="00007EDB"/>
    <w:p w14:paraId="31819576" w14:textId="77777777" w:rsidR="00007EDB" w:rsidRDefault="00007EDB" w:rsidP="00007EDB">
      <w:r>
        <w:t>Court: Arkansas Supreme Court</w:t>
      </w:r>
    </w:p>
    <w:p w14:paraId="534F9E17" w14:textId="77777777" w:rsidR="00007EDB" w:rsidRDefault="00007EDB" w:rsidP="00007EDB"/>
    <w:p w14:paraId="3070CA79" w14:textId="77777777" w:rsidR="00007EDB" w:rsidRDefault="00007EDB" w:rsidP="00007EDB">
      <w:r>
        <w:lastRenderedPageBreak/>
        <w:t>Citation: 2025 Ark. 129</w:t>
      </w:r>
    </w:p>
    <w:p w14:paraId="72144FEE" w14:textId="77777777" w:rsidR="00007EDB" w:rsidRDefault="00007EDB" w:rsidP="00007EDB"/>
    <w:p w14:paraId="104B64B6" w14:textId="77777777" w:rsidR="00007EDB" w:rsidRDefault="00007EDB" w:rsidP="00007EDB">
      <w:r>
        <w:t>Opinion Date: September 25, 2025</w:t>
      </w:r>
    </w:p>
    <w:p w14:paraId="37634859" w14:textId="77777777" w:rsidR="00007EDB" w:rsidRDefault="00007EDB" w:rsidP="00007EDB"/>
    <w:p w14:paraId="76DB5AF1" w14:textId="77777777" w:rsidR="00007EDB" w:rsidRDefault="00007EDB" w:rsidP="00007EDB">
      <w:r>
        <w:t>Judge: Courtney Hudson Goodson</w:t>
      </w:r>
    </w:p>
    <w:p w14:paraId="583CBCDF" w14:textId="77777777" w:rsidR="00007EDB" w:rsidRDefault="00007EDB" w:rsidP="00007EDB"/>
    <w:p w14:paraId="2D269174" w14:textId="77777777" w:rsidR="00007EDB" w:rsidRDefault="00007EDB" w:rsidP="00007EDB">
      <w:r>
        <w:t>Areas of Law: Criminal Law</w:t>
      </w:r>
    </w:p>
    <w:p w14:paraId="3BA6CBD5" w14:textId="77777777" w:rsidR="00007EDB" w:rsidRDefault="00007EDB" w:rsidP="00007EDB"/>
    <w:p w14:paraId="08E6892B" w14:textId="77777777" w:rsidR="00007EDB" w:rsidRDefault="00007EDB" w:rsidP="00007EDB">
      <w:r>
        <w:t xml:space="preserve">The appellant was charged with capital murder following the shooting death of </w:t>
      </w:r>
      <w:proofErr w:type="spellStart"/>
      <w:r>
        <w:t>Zyrique</w:t>
      </w:r>
      <w:proofErr w:type="spellEnd"/>
      <w:r>
        <w:t xml:space="preserve"> “Zack” </w:t>
      </w:r>
      <w:proofErr w:type="spellStart"/>
      <w:r>
        <w:t>Geans</w:t>
      </w:r>
      <w:proofErr w:type="spellEnd"/>
      <w:r>
        <w:t xml:space="preserve"> in Stuttgart, Arkansas, on February 13, 2019. The prosecution alleged that the appellant, after an earlier altercation with the victim, discharged a firearm from a vehicle toward the victim, who was under a carport at his residence, resulting in the victim’s death. Multiple eyewitnesses testified that the appellant fired a handgun from a purple Camaro convertible toward the residence. Physical evidence, including shell casings and gunshot residue, supported the eyewitness accounts. The defense argued justification, claiming the appellant fired only after being shot at, and presented testimony to support this theory.</w:t>
      </w:r>
    </w:p>
    <w:p w14:paraId="0F28E17C" w14:textId="77777777" w:rsidR="00007EDB" w:rsidRDefault="00007EDB" w:rsidP="00007EDB"/>
    <w:p w14:paraId="2E5F01A1" w14:textId="77777777" w:rsidR="00007EDB" w:rsidRDefault="00007EDB" w:rsidP="00007EDB">
      <w:r>
        <w:t>The Arkansas County Circuit Court held a jury trial in January 2023. The jury found the appellant guilty of capital murder and of using a firearm to commit the offense. The court sentenced him to life imprisonment without parole, plus a fifteen-year firearm enhancement. The appellant challenged the sufficiency of the evidence, the voluntariness of his in-custody statements, and the completeness of the record for appellate review. The circuit court denied these motions, including the motion to suppress statements, finding that the appellant had knowingly and voluntarily waived his Miranda rights.</w:t>
      </w:r>
    </w:p>
    <w:p w14:paraId="0DCE3E14" w14:textId="77777777" w:rsidR="00007EDB" w:rsidRDefault="00007EDB" w:rsidP="00007EDB"/>
    <w:p w14:paraId="6FC66687" w14:textId="3C304EC5" w:rsidR="00007EDB" w:rsidRDefault="00007EDB" w:rsidP="00007EDB">
      <w:r>
        <w:t>On appeal, the Supreme Court of Arkansas reviewed the sufficiency of the evidence, the denial of the motion to suppress, and the adequacy of the record. The court held that substantial evidence supported the conviction, that the appellant’s waiver of Miranda rights was knowing, intelligent, and voluntary, and that the supplemented record was sufficient for appellate review. The court affirmed the conviction and sentence, finding no prejudicial error in the proceedings.</w:t>
      </w:r>
    </w:p>
    <w:p w14:paraId="6234FBE8" w14:textId="668C1E6D" w:rsidR="00007EDB" w:rsidRDefault="00007EDB" w:rsidP="00007EDB">
      <w:hyperlink r:id="rId7" w:history="1">
        <w:r w:rsidRPr="00E50AAC">
          <w:rPr>
            <w:rStyle w:val="Hyperlink"/>
          </w:rPr>
          <w:t>https://cases.justia.com/arkansas/supreme-court/2025-cr-23-656.pdf</w:t>
        </w:r>
      </w:hyperlink>
    </w:p>
    <w:p w14:paraId="1A24E211" w14:textId="77777777" w:rsidR="00007EDB" w:rsidRDefault="00007EDB" w:rsidP="00007EDB"/>
    <w:p w14:paraId="3621AB67" w14:textId="77777777" w:rsidR="004E44D7" w:rsidRDefault="004E44D7" w:rsidP="004E44D7">
      <w:r>
        <w:t>State v. Rodriguez</w:t>
      </w:r>
    </w:p>
    <w:p w14:paraId="44B95D18" w14:textId="77777777" w:rsidR="004E44D7" w:rsidRDefault="004E44D7" w:rsidP="004E44D7"/>
    <w:p w14:paraId="163530EC" w14:textId="77777777" w:rsidR="004E44D7" w:rsidRDefault="004E44D7" w:rsidP="004E44D7">
      <w:r>
        <w:t>Court: New Hampshire Supreme Court</w:t>
      </w:r>
    </w:p>
    <w:p w14:paraId="11A280FD" w14:textId="77777777" w:rsidR="004E44D7" w:rsidRDefault="004E44D7" w:rsidP="004E44D7"/>
    <w:p w14:paraId="223B26AE" w14:textId="77777777" w:rsidR="004E44D7" w:rsidRDefault="004E44D7" w:rsidP="004E44D7">
      <w:r>
        <w:t>Docket: 2024-0344</w:t>
      </w:r>
    </w:p>
    <w:p w14:paraId="5247A099" w14:textId="77777777" w:rsidR="004E44D7" w:rsidRDefault="004E44D7" w:rsidP="004E44D7"/>
    <w:p w14:paraId="20E9010C" w14:textId="77777777" w:rsidR="004E44D7" w:rsidRDefault="004E44D7" w:rsidP="004E44D7">
      <w:r>
        <w:t>Opinion Date: September 19, 2025</w:t>
      </w:r>
    </w:p>
    <w:p w14:paraId="25D9FFAE" w14:textId="77777777" w:rsidR="004E44D7" w:rsidRDefault="004E44D7" w:rsidP="004E44D7"/>
    <w:p w14:paraId="37327347" w14:textId="77777777" w:rsidR="004E44D7" w:rsidRDefault="004E44D7" w:rsidP="004E44D7">
      <w:r>
        <w:t>Judge: Patrick E. Donovan</w:t>
      </w:r>
    </w:p>
    <w:p w14:paraId="257D460F" w14:textId="77777777" w:rsidR="004E44D7" w:rsidRDefault="004E44D7" w:rsidP="004E44D7"/>
    <w:p w14:paraId="51F56A11" w14:textId="77777777" w:rsidR="004E44D7" w:rsidRDefault="004E44D7" w:rsidP="004E44D7">
      <w:r>
        <w:t>Areas of Law: Criminal Law</w:t>
      </w:r>
    </w:p>
    <w:p w14:paraId="4EF2E5FE" w14:textId="77777777" w:rsidR="004E44D7" w:rsidRDefault="004E44D7" w:rsidP="004E44D7"/>
    <w:p w14:paraId="576E169E" w14:textId="77777777" w:rsidR="004E44D7" w:rsidRDefault="004E44D7" w:rsidP="004E44D7">
      <w:r>
        <w:t>Police responded to a hotel after receiving a report about a missing juvenile. Upon arrival, they found a juvenile matching the description, apparently unclothed under the covers, with visible red marks and empty alcohol containers in the room. The defendant, a 24-year-old man, was present and admitted to meeting the juvenile at a bus stop and consuming alcohol with her, believing she was over eighteen. The officers arrested the defendant for allegedly providing alcohol to a minor and seized his cell phone during a search incident to arrest. Subsequent investigation revealed that the juvenile, who was fourteen or fifteen, had met the defendant online, disclosed her age, and described sexual activity with him. Police obtained a search warrant for the defendant’s cell phone, which led to the discovery of explicit messages and images, resulting in multiple charges.</w:t>
      </w:r>
    </w:p>
    <w:p w14:paraId="356680F8" w14:textId="77777777" w:rsidR="004E44D7" w:rsidRDefault="004E44D7" w:rsidP="004E44D7"/>
    <w:p w14:paraId="386E6E34" w14:textId="77777777" w:rsidR="004E44D7" w:rsidRDefault="004E44D7" w:rsidP="004E44D7">
      <w:r>
        <w:t xml:space="preserve">The Rockingham County Superior Court held a hearing on the defendant’s motion to suppress the cell phone evidence, during which the State conceded that the arrest was unlawful. The court assumed the arrest and seizure of the phone were unlawful but denied the motion to suppress, finding that the evidence was obtained through an independent source: the search warrant based on information from the juvenile and the missing person </w:t>
      </w:r>
      <w:r>
        <w:lastRenderedPageBreak/>
        <w:t>investigation, not the arrest itself. The defendant was convicted on all charges after a bench trial on stipulated facts.</w:t>
      </w:r>
    </w:p>
    <w:p w14:paraId="7F869EFF" w14:textId="77777777" w:rsidR="004E44D7" w:rsidRDefault="004E44D7" w:rsidP="004E44D7"/>
    <w:p w14:paraId="249B7BAD" w14:textId="6A8EA23B" w:rsidR="00007EDB" w:rsidRDefault="004E44D7" w:rsidP="004E44D7">
      <w:r>
        <w:t>The Supreme Court of New Hampshire reviewed the case and affirmed the lower court’s decision. The court held that, even assuming the arrest and seizure were unlawful, the evidence from the cell phone was admissible under the independent source doctrine. The search warrant was supported by information independent of the unlawful arrest, and the police did not exploit the illegality to obtain the evidence. Therefore, the exclusionary rule did not require suppression of the cell phone evidence.</w:t>
      </w:r>
    </w:p>
    <w:p w14:paraId="04D214AF" w14:textId="0004A51C" w:rsidR="004E44D7" w:rsidRDefault="004E44D7" w:rsidP="004E44D7">
      <w:hyperlink r:id="rId8" w:history="1">
        <w:r w:rsidRPr="00E50AAC">
          <w:rPr>
            <w:rStyle w:val="Hyperlink"/>
          </w:rPr>
          <w:t>https://cases.justia.com/new-hampshire/supreme-court/2025-2024-0344.pdf</w:t>
        </w:r>
      </w:hyperlink>
    </w:p>
    <w:p w14:paraId="2BEC6DAA" w14:textId="77777777" w:rsidR="004E44D7" w:rsidRDefault="004E44D7" w:rsidP="004E44D7"/>
    <w:p w14:paraId="6F5915DF" w14:textId="77777777" w:rsidR="004E44D7" w:rsidRDefault="004E44D7" w:rsidP="004E44D7"/>
    <w:p w14:paraId="3575A5C3" w14:textId="77777777" w:rsidR="004E44D7" w:rsidRDefault="004E44D7" w:rsidP="004E44D7">
      <w:r>
        <w:t>Commonwealth v. Lewis</w:t>
      </w:r>
    </w:p>
    <w:p w14:paraId="7D64F43D" w14:textId="77777777" w:rsidR="004E44D7" w:rsidRDefault="004E44D7" w:rsidP="004E44D7"/>
    <w:p w14:paraId="24FAD687" w14:textId="77777777" w:rsidR="004E44D7" w:rsidRDefault="004E44D7" w:rsidP="004E44D7">
      <w:r>
        <w:t>Court: Supreme Court of Pennsylvania</w:t>
      </w:r>
    </w:p>
    <w:p w14:paraId="4604B104" w14:textId="77777777" w:rsidR="004E44D7" w:rsidRDefault="004E44D7" w:rsidP="004E44D7"/>
    <w:p w14:paraId="3D07B43B" w14:textId="77777777" w:rsidR="004E44D7" w:rsidRDefault="004E44D7" w:rsidP="004E44D7">
      <w:r>
        <w:t>Docket: 37 EAP 2024</w:t>
      </w:r>
    </w:p>
    <w:p w14:paraId="6B9A03BD" w14:textId="77777777" w:rsidR="004E44D7" w:rsidRDefault="004E44D7" w:rsidP="004E44D7"/>
    <w:p w14:paraId="0E8E4E5E" w14:textId="77777777" w:rsidR="004E44D7" w:rsidRDefault="004E44D7" w:rsidP="004E44D7">
      <w:r>
        <w:t>Opinion Date: September 25, 2025</w:t>
      </w:r>
    </w:p>
    <w:p w14:paraId="0461246C" w14:textId="77777777" w:rsidR="004E44D7" w:rsidRDefault="004E44D7" w:rsidP="004E44D7"/>
    <w:p w14:paraId="1DBF0686" w14:textId="77777777" w:rsidR="004E44D7" w:rsidRDefault="004E44D7" w:rsidP="004E44D7">
      <w:r>
        <w:t>Judge: Kevin M. Dougherty</w:t>
      </w:r>
    </w:p>
    <w:p w14:paraId="4469FA80" w14:textId="77777777" w:rsidR="004E44D7" w:rsidRDefault="004E44D7" w:rsidP="004E44D7"/>
    <w:p w14:paraId="30BBE6B4" w14:textId="77777777" w:rsidR="004E44D7" w:rsidRDefault="004E44D7" w:rsidP="004E44D7">
      <w:r>
        <w:t>Areas of Law: Criminal Law</w:t>
      </w:r>
    </w:p>
    <w:p w14:paraId="338E57F1" w14:textId="77777777" w:rsidR="004E44D7" w:rsidRDefault="004E44D7" w:rsidP="004E44D7"/>
    <w:p w14:paraId="76D07624" w14:textId="77777777" w:rsidR="004E44D7" w:rsidRDefault="004E44D7" w:rsidP="004E44D7">
      <w:r>
        <w:t xml:space="preserve">Police officers on patrol in Philadelphia observed a group of men on the 1200 block of West Dauphin Street who appeared to be gambling, an activity prohibited by city ordinance. As the officers approached, Anthony Lewis, who was among the group and carrying a black leather bag, made eye contact with one of the officers, appeared startled, and fled. The officers pursued Lewis, who was apprehended after discarding his bag over a fence. The </w:t>
      </w:r>
      <w:r>
        <w:lastRenderedPageBreak/>
        <w:t>bag was recovered and found to contain a loaded firearm, and DNA evidence later linked Lewis to the gun.</w:t>
      </w:r>
    </w:p>
    <w:p w14:paraId="365128C2" w14:textId="77777777" w:rsidR="004E44D7" w:rsidRDefault="004E44D7" w:rsidP="004E44D7"/>
    <w:p w14:paraId="629560AF" w14:textId="77777777" w:rsidR="004E44D7" w:rsidRDefault="004E44D7" w:rsidP="004E44D7">
      <w:r>
        <w:t>Lewis moved to suppress the firearm, arguing that the police lacked reasonable suspicion to pursue him. At the suppression hearing in the Philadelphia County Court of Common Pleas, the Commonwealth presented testimony from the officers, who described the area as known for gambling, narcotics sales, and recent violent crimes. The trial court credited the officers’ testimony, found the area to be high in crime, and concluded that Lewis’s unprovoked flight in that context gave rise to reasonable suspicion. The court denied the suppression motion, and Lewis was subsequently convicted of several firearm offenses. The Superior Court of Pennsylvania affirmed, holding that the officers’ observations, combined with the high-crime nature of the area and Lewis’s flight, supported reasonable suspicion for the stop and that the firearm was not the product of coerced abandonment.</w:t>
      </w:r>
    </w:p>
    <w:p w14:paraId="17AAFAFC" w14:textId="77777777" w:rsidR="004E44D7" w:rsidRDefault="004E44D7" w:rsidP="004E44D7"/>
    <w:p w14:paraId="3B51EB36" w14:textId="156B4E1F" w:rsidR="004E44D7" w:rsidRDefault="004E44D7" w:rsidP="004E44D7">
      <w:r>
        <w:t>The Supreme Court of Pennsylvania reviewed whether the evidence was sufficient to establish the area as high in crime and whether the firearm should have been suppressed. The court held that the Commonwealth bears the burden of proving an area is high in crime but declined to impose a rigid, multi-element test for such a designation. Instead, the court left the determination to the discretion of suppression courts, emphasizing that mere invocation of “high-crime area” is insufficient. The court affirmed the Superior Court’s order, holding that the evidence supported the finding of a high-crime area and that the police had reasonable suspicion to pursue Lewis.</w:t>
      </w:r>
    </w:p>
    <w:p w14:paraId="46708AEB" w14:textId="710BFE28" w:rsidR="004E44D7" w:rsidRDefault="004E44D7" w:rsidP="004E44D7">
      <w:hyperlink r:id="rId9" w:history="1">
        <w:r w:rsidRPr="00E50AAC">
          <w:rPr>
            <w:rStyle w:val="Hyperlink"/>
          </w:rPr>
          <w:t>https://cases.justia.com/pennsylvania/supreme-court/2025-37-eap-2024.pdf</w:t>
        </w:r>
      </w:hyperlink>
      <w:r>
        <w:t xml:space="preserve"> </w:t>
      </w:r>
    </w:p>
    <w:p w14:paraId="0ECB7DBE" w14:textId="77777777" w:rsidR="004E44D7" w:rsidRDefault="004E44D7" w:rsidP="004E44D7"/>
    <w:p w14:paraId="0DFE6A4E" w14:textId="77777777" w:rsidR="00007EDB" w:rsidRDefault="00007EDB" w:rsidP="00007EDB"/>
    <w:p w14:paraId="46E49DC9" w14:textId="77777777" w:rsidR="00FF3704" w:rsidRDefault="00FF3704" w:rsidP="00FF3704"/>
    <w:sectPr w:rsidR="00FF3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0A"/>
    <w:rsid w:val="00007EDB"/>
    <w:rsid w:val="000C450A"/>
    <w:rsid w:val="001F470B"/>
    <w:rsid w:val="003D32E0"/>
    <w:rsid w:val="004E3816"/>
    <w:rsid w:val="004E44D7"/>
    <w:rsid w:val="00570746"/>
    <w:rsid w:val="00822D75"/>
    <w:rsid w:val="00C55E8C"/>
    <w:rsid w:val="00D41EC4"/>
    <w:rsid w:val="00FF3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09E5"/>
  <w15:chartTrackingRefBased/>
  <w15:docId w15:val="{90E220EC-FC04-4D94-B37A-B45A6EE5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0A"/>
    <w:rPr>
      <w:rFonts w:eastAsiaTheme="majorEastAsia" w:cstheme="majorBidi"/>
      <w:color w:val="272727" w:themeColor="text1" w:themeTint="D8"/>
    </w:rPr>
  </w:style>
  <w:style w:type="paragraph" w:styleId="Title">
    <w:name w:val="Title"/>
    <w:basedOn w:val="Normal"/>
    <w:next w:val="Normal"/>
    <w:link w:val="TitleChar"/>
    <w:uiPriority w:val="10"/>
    <w:qFormat/>
    <w:rsid w:val="000C4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0A"/>
    <w:pPr>
      <w:spacing w:before="160"/>
      <w:jc w:val="center"/>
    </w:pPr>
    <w:rPr>
      <w:i/>
      <w:iCs/>
      <w:color w:val="404040" w:themeColor="text1" w:themeTint="BF"/>
    </w:rPr>
  </w:style>
  <w:style w:type="character" w:customStyle="1" w:styleId="QuoteChar">
    <w:name w:val="Quote Char"/>
    <w:basedOn w:val="DefaultParagraphFont"/>
    <w:link w:val="Quote"/>
    <w:uiPriority w:val="29"/>
    <w:rsid w:val="000C450A"/>
    <w:rPr>
      <w:i/>
      <w:iCs/>
      <w:color w:val="404040" w:themeColor="text1" w:themeTint="BF"/>
    </w:rPr>
  </w:style>
  <w:style w:type="paragraph" w:styleId="ListParagraph">
    <w:name w:val="List Paragraph"/>
    <w:basedOn w:val="Normal"/>
    <w:uiPriority w:val="34"/>
    <w:qFormat/>
    <w:rsid w:val="000C450A"/>
    <w:pPr>
      <w:ind w:left="720"/>
      <w:contextualSpacing/>
    </w:pPr>
  </w:style>
  <w:style w:type="character" w:styleId="IntenseEmphasis">
    <w:name w:val="Intense Emphasis"/>
    <w:basedOn w:val="DefaultParagraphFont"/>
    <w:uiPriority w:val="21"/>
    <w:qFormat/>
    <w:rsid w:val="000C450A"/>
    <w:rPr>
      <w:i/>
      <w:iCs/>
      <w:color w:val="0F4761" w:themeColor="accent1" w:themeShade="BF"/>
    </w:rPr>
  </w:style>
  <w:style w:type="paragraph" w:styleId="IntenseQuote">
    <w:name w:val="Intense Quote"/>
    <w:basedOn w:val="Normal"/>
    <w:next w:val="Normal"/>
    <w:link w:val="IntenseQuoteChar"/>
    <w:uiPriority w:val="30"/>
    <w:qFormat/>
    <w:rsid w:val="000C4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0A"/>
    <w:rPr>
      <w:i/>
      <w:iCs/>
      <w:color w:val="0F4761" w:themeColor="accent1" w:themeShade="BF"/>
    </w:rPr>
  </w:style>
  <w:style w:type="character" w:styleId="IntenseReference">
    <w:name w:val="Intense Reference"/>
    <w:basedOn w:val="DefaultParagraphFont"/>
    <w:uiPriority w:val="32"/>
    <w:qFormat/>
    <w:rsid w:val="000C450A"/>
    <w:rPr>
      <w:b/>
      <w:bCs/>
      <w:smallCaps/>
      <w:color w:val="0F4761" w:themeColor="accent1" w:themeShade="BF"/>
      <w:spacing w:val="5"/>
    </w:rPr>
  </w:style>
  <w:style w:type="character" w:styleId="Hyperlink">
    <w:name w:val="Hyperlink"/>
    <w:basedOn w:val="DefaultParagraphFont"/>
    <w:uiPriority w:val="99"/>
    <w:unhideWhenUsed/>
    <w:rsid w:val="003D32E0"/>
    <w:rPr>
      <w:color w:val="467886" w:themeColor="hyperlink"/>
      <w:u w:val="single"/>
    </w:rPr>
  </w:style>
  <w:style w:type="character" w:styleId="UnresolvedMention">
    <w:name w:val="Unresolved Mention"/>
    <w:basedOn w:val="DefaultParagraphFont"/>
    <w:uiPriority w:val="99"/>
    <w:semiHidden/>
    <w:unhideWhenUsed/>
    <w:rsid w:val="003D3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new-hampshire/supreme-court/2025-2024-0344.pdf" TargetMode="External"/><Relationship Id="rId3" Type="http://schemas.openxmlformats.org/officeDocument/2006/relationships/webSettings" Target="webSettings.xml"/><Relationship Id="rId7" Type="http://schemas.openxmlformats.org/officeDocument/2006/relationships/hyperlink" Target="https://cases.justia.com/arkansas/supreme-court/2025-cr-23-65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nebraska/supreme-court/2025-s-23-953.pdf" TargetMode="External"/><Relationship Id="rId11" Type="http://schemas.openxmlformats.org/officeDocument/2006/relationships/theme" Target="theme/theme1.xml"/><Relationship Id="rId5" Type="http://schemas.openxmlformats.org/officeDocument/2006/relationships/hyperlink" Target="https://cases.justia.com/federal/appellate-courts/ca11/23-13616/23-13616-2025-09-25.pdf" TargetMode="External"/><Relationship Id="rId10" Type="http://schemas.openxmlformats.org/officeDocument/2006/relationships/fontTable" Target="fontTable.xml"/><Relationship Id="rId4" Type="http://schemas.openxmlformats.org/officeDocument/2006/relationships/hyperlink" Target="https://cases.justia.com/federal/appellate-courts/ca11/24-11157/24-11157-2025-09-25.pdf" TargetMode="External"/><Relationship Id="rId9" Type="http://schemas.openxmlformats.org/officeDocument/2006/relationships/hyperlink" Target="https://cases.justia.com/pennsylvania/supreme-court/2025-37-eap-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8</Pages>
  <Words>2029</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2025-09-26T13:08:00Z</dcterms:created>
  <dcterms:modified xsi:type="dcterms:W3CDTF">2025-09-26T17:54:00Z</dcterms:modified>
</cp:coreProperties>
</file>