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4BF39" w14:textId="2243221E" w:rsidR="00DF4922" w:rsidRDefault="002022F4">
      <w:r>
        <w:t>BF4 24JAN2025</w:t>
      </w:r>
    </w:p>
    <w:p w14:paraId="52E0CD2F" w14:textId="77777777" w:rsidR="002022F4" w:rsidRDefault="002022F4"/>
    <w:p w14:paraId="45ECC2A9" w14:textId="77777777" w:rsidR="00642023" w:rsidRPr="00D24847" w:rsidRDefault="00642023" w:rsidP="00642023">
      <w:pPr>
        <w:rPr>
          <w:b/>
          <w:bCs/>
        </w:rPr>
      </w:pPr>
      <w:r w:rsidRPr="00D24847">
        <w:rPr>
          <w:b/>
          <w:bCs/>
        </w:rPr>
        <w:t>Wells v. Fuentes</w:t>
      </w:r>
    </w:p>
    <w:p w14:paraId="13DD0DAB" w14:textId="70369600" w:rsidR="00642023" w:rsidRDefault="00642023" w:rsidP="00642023">
      <w:r>
        <w:t>U.S. Court of Appeals for the Fourth Circuit</w:t>
      </w:r>
    </w:p>
    <w:p w14:paraId="22621A29" w14:textId="481EFBB0" w:rsidR="00642023" w:rsidRDefault="00D24847" w:rsidP="00642023">
      <w:r w:rsidRPr="00D24847">
        <w:t>January 22, 2025</w:t>
      </w:r>
    </w:p>
    <w:p w14:paraId="289263D9" w14:textId="77777777" w:rsidR="00642023" w:rsidRDefault="00642023" w:rsidP="00642023">
      <w:r>
        <w:t>Docket: 23-1638</w:t>
      </w:r>
    </w:p>
    <w:p w14:paraId="130D4437" w14:textId="77777777" w:rsidR="00642023" w:rsidRDefault="00642023" w:rsidP="00642023"/>
    <w:p w14:paraId="4D73B00A" w14:textId="7B1830E1" w:rsidR="00642023" w:rsidRPr="009857ED" w:rsidRDefault="00D24847" w:rsidP="00642023">
      <w:pPr>
        <w:rPr>
          <w:i/>
          <w:iCs/>
        </w:rPr>
      </w:pPr>
      <w:r w:rsidRPr="009857ED">
        <w:rPr>
          <w:i/>
          <w:iCs/>
        </w:rPr>
        <w:t>LEO LAW Topics</w:t>
      </w:r>
      <w:r w:rsidR="009857ED" w:rsidRPr="009857ED">
        <w:rPr>
          <w:i/>
          <w:iCs/>
        </w:rPr>
        <w:t xml:space="preserve"> 5-20, 5-31: (I</w:t>
      </w:r>
      <w:r w:rsidRPr="009857ED">
        <w:rPr>
          <w:i/>
          <w:iCs/>
        </w:rPr>
        <w:t>mpoundment and inventory proper under community caretaking</w:t>
      </w:r>
      <w:r w:rsidR="009857ED" w:rsidRPr="009857ED">
        <w:rPr>
          <w:i/>
          <w:iCs/>
        </w:rPr>
        <w:t xml:space="preserve"> doctrine.)</w:t>
      </w:r>
    </w:p>
    <w:p w14:paraId="6A35420D" w14:textId="77777777" w:rsidR="00642023" w:rsidRDefault="00642023" w:rsidP="00642023"/>
    <w:p w14:paraId="1833E56F" w14:textId="77777777" w:rsidR="00642023" w:rsidRDefault="00642023" w:rsidP="00642023">
      <w:r>
        <w:t>Curtis Wells parked his car near Arlington Cemetery and was noticed by Officer Armstrong due to his animated gestures while on a phone call. Armstrong approached Wells and discovered that his car had an expired registration. Arlington County police were called, and they found that Wells did not have a driver's license and had weapons in his car. The police decided to tow Wells's car and conducted an inventory search, which revealed various weapons and tactical gear, including a ballistic plate carrier. Wells was sent home, but further investigation suggested that the plate might have been stolen from the Army. Nine days later, Wells was arrested for receiving stolen property.</w:t>
      </w:r>
    </w:p>
    <w:p w14:paraId="19F59EB4" w14:textId="77777777" w:rsidR="00642023" w:rsidRDefault="00642023" w:rsidP="00642023"/>
    <w:p w14:paraId="79D1AFF3" w14:textId="0A98D6C2" w:rsidR="00642023" w:rsidRDefault="00642023" w:rsidP="00642023">
      <w:r>
        <w:t xml:space="preserve">In the United States District Court for the Eastern District of Virginia, Wells brought state and federal claims against various officers and entities, alleging </w:t>
      </w:r>
      <w:r w:rsidR="00940193">
        <w:t xml:space="preserve">violations of </w:t>
      </w:r>
      <w:r w:rsidR="009857ED">
        <w:t>his</w:t>
      </w:r>
      <w:r w:rsidR="00940193">
        <w:t xml:space="preserve"> </w:t>
      </w:r>
      <w:r w:rsidR="009857ED">
        <w:t xml:space="preserve">Second, </w:t>
      </w:r>
      <w:r w:rsidR="00940193">
        <w:t>Fourth</w:t>
      </w:r>
      <w:r w:rsidR="009857ED">
        <w:t>,</w:t>
      </w:r>
      <w:r w:rsidR="00940193">
        <w:t xml:space="preserve"> and Fifth </w:t>
      </w:r>
      <w:r w:rsidR="009857ED">
        <w:t>Amendment rights.</w:t>
      </w:r>
      <w:r>
        <w:t xml:space="preserve"> The district court dismissed his claims, reasoning that the officers were protected by qualified immunity</w:t>
      </w:r>
      <w:r w:rsidR="009857ED">
        <w:t xml:space="preserve">. </w:t>
      </w:r>
      <w:r>
        <w:t xml:space="preserve"> </w:t>
      </w:r>
    </w:p>
    <w:p w14:paraId="11892AD3" w14:textId="77777777" w:rsidR="009857ED" w:rsidRDefault="009857ED" w:rsidP="00642023"/>
    <w:p w14:paraId="186E8BE5" w14:textId="563C957A" w:rsidR="00642023" w:rsidRDefault="00642023" w:rsidP="00642023">
      <w:r>
        <w:t xml:space="preserve">The United States Court of Appeals for the Fourth Circuit reviewed the case and affirmed the district court's </w:t>
      </w:r>
      <w:r w:rsidR="00940193">
        <w:t>decision to dismiss</w:t>
      </w:r>
      <w:r>
        <w:t xml:space="preserve">. The court held that the officers' actions were protected by qualified immunity because Wells did not have a clearly established right against the officers' conduct. The court found that </w:t>
      </w:r>
      <w:r w:rsidR="00940193">
        <w:t>Officer Armstrong's initial approach was justified under the community-caretaking exception. The</w:t>
      </w:r>
      <w:r>
        <w:t xml:space="preserve"> inventory search of Wells's car was conducted according to standard procedures, and Wells had consented to the safekeeping of his property. Additionally, the court held that Wells's Second Amendment claims failed because the right to public carry was not clearly established in 2020. </w:t>
      </w:r>
    </w:p>
    <w:p w14:paraId="7548B3C8" w14:textId="77777777" w:rsidR="00642023" w:rsidRDefault="00642023" w:rsidP="00642023"/>
    <w:p w14:paraId="4F32510B" w14:textId="4213202D" w:rsidR="005B349E" w:rsidRPr="00D24847" w:rsidRDefault="00D24847" w:rsidP="005B349E">
      <w:pPr>
        <w:rPr>
          <w:b/>
          <w:bCs/>
        </w:rPr>
      </w:pPr>
      <w:r w:rsidRPr="00D24847">
        <w:rPr>
          <w:b/>
          <w:bCs/>
        </w:rPr>
        <w:t>United States v. Brown</w:t>
      </w:r>
    </w:p>
    <w:p w14:paraId="5B0F4E9A" w14:textId="53860B29" w:rsidR="005B349E" w:rsidRDefault="005B349E" w:rsidP="005B349E">
      <w:r>
        <w:t>U.S. Court of Appeals for the District of Columbia Circuit</w:t>
      </w:r>
    </w:p>
    <w:p w14:paraId="754744AE" w14:textId="3E08BA96" w:rsidR="005B349E" w:rsidRDefault="00D24847" w:rsidP="005B349E">
      <w:r w:rsidRPr="00D24847">
        <w:t>January 17, 2025</w:t>
      </w:r>
    </w:p>
    <w:p w14:paraId="4A22C624" w14:textId="77777777" w:rsidR="005B349E" w:rsidRDefault="005B349E" w:rsidP="005B349E">
      <w:r>
        <w:t>Docket: 23-3074</w:t>
      </w:r>
    </w:p>
    <w:p w14:paraId="33182187" w14:textId="77777777" w:rsidR="005B349E" w:rsidRDefault="005B349E" w:rsidP="005B349E"/>
    <w:p w14:paraId="21BC64C9" w14:textId="3EA77F6B" w:rsidR="005B349E" w:rsidRPr="009857ED" w:rsidRDefault="00D24847" w:rsidP="005B349E">
      <w:pPr>
        <w:rPr>
          <w:i/>
          <w:iCs/>
        </w:rPr>
      </w:pPr>
      <w:r w:rsidRPr="009857ED">
        <w:rPr>
          <w:i/>
          <w:iCs/>
        </w:rPr>
        <w:t xml:space="preserve">LEO LAW Topic: </w:t>
      </w:r>
      <w:r w:rsidR="009857ED" w:rsidRPr="009857ED">
        <w:rPr>
          <w:i/>
          <w:iCs/>
        </w:rPr>
        <w:t>7-1 (C</w:t>
      </w:r>
      <w:r w:rsidRPr="009857ED">
        <w:rPr>
          <w:i/>
          <w:iCs/>
        </w:rPr>
        <w:t xml:space="preserve">ompelling </w:t>
      </w:r>
      <w:r w:rsidR="009857ED" w:rsidRPr="009857ED">
        <w:rPr>
          <w:i/>
          <w:iCs/>
        </w:rPr>
        <w:t xml:space="preserve">a </w:t>
      </w:r>
      <w:r w:rsidRPr="009857ED">
        <w:rPr>
          <w:i/>
          <w:iCs/>
        </w:rPr>
        <w:t>suspect to unlock his cellphone violated the Fifth Amendment</w:t>
      </w:r>
      <w:r w:rsidR="009857ED" w:rsidRPr="009857ED">
        <w:rPr>
          <w:i/>
          <w:iCs/>
        </w:rPr>
        <w:t>.)</w:t>
      </w:r>
    </w:p>
    <w:p w14:paraId="537343B7" w14:textId="77777777" w:rsidR="005B349E" w:rsidRDefault="005B349E" w:rsidP="005B349E"/>
    <w:p w14:paraId="07F9B560" w14:textId="7FCFF6D4" w:rsidR="005B349E" w:rsidRDefault="005B349E" w:rsidP="005B349E">
      <w:r>
        <w:t>Jeffrey Brown, Markus Maly, and Peter Schwartz were tried and convicted by a jury for assaulting police officers on the Capitol grounds on January 6, 2021. They traveled separately to Washington, D.C. and participated in the riot following President Trump’s rally. Evidence showed that Maly and Schwartz assaulted officers on the Lower West Terrace, with Schwartz throwing a chair and both using pepper spray. All three later entered the Tunnel, where they used pepper spray against officers and attempted to push through the police line.</w:t>
      </w:r>
    </w:p>
    <w:p w14:paraId="11AFDAF3" w14:textId="77777777" w:rsidR="005B349E" w:rsidRDefault="005B349E" w:rsidP="005B349E"/>
    <w:p w14:paraId="226F6329" w14:textId="5EE08E57" w:rsidR="005B349E" w:rsidRDefault="005B349E" w:rsidP="005B349E">
      <w:r>
        <w:t xml:space="preserve">The United States District Court for the District of Columbia denied Schwartz’s motions to suppress evidence obtained from his cellphone. The court found that the FBI had compelled Schwartz to unlock his </w:t>
      </w:r>
      <w:proofErr w:type="gramStart"/>
      <w:r w:rsidR="009857ED">
        <w:t>phone, but</w:t>
      </w:r>
      <w:proofErr w:type="gramEnd"/>
      <w:r>
        <w:t xml:space="preserve"> ruled that this act was not </w:t>
      </w:r>
      <w:r w:rsidR="009857ED">
        <w:t>“</w:t>
      </w:r>
      <w:r>
        <w:t>testimonial</w:t>
      </w:r>
      <w:r w:rsidR="009857ED">
        <w:t>” and therefore not protected by the Fifth Amendment self-incrimination clause</w:t>
      </w:r>
      <w:r>
        <w:t>. The jury convicted all three defendants on all counts</w:t>
      </w:r>
      <w:r w:rsidR="005936FD">
        <w:t>.</w:t>
      </w:r>
    </w:p>
    <w:p w14:paraId="263BEF4B" w14:textId="77777777" w:rsidR="005B349E" w:rsidRDefault="005B349E" w:rsidP="005B349E"/>
    <w:p w14:paraId="788F431E" w14:textId="217E2684" w:rsidR="00642023" w:rsidRDefault="005B349E" w:rsidP="005B349E">
      <w:r>
        <w:t>The United States Court of Appeals for the District of Columbia Circuit reviewed the case</w:t>
      </w:r>
      <w:r w:rsidR="00D24847">
        <w:t xml:space="preserve">. </w:t>
      </w:r>
      <w:r>
        <w:t xml:space="preserve">The court held that compelling Schwartz to unlock his cellphone </w:t>
      </w:r>
      <w:r w:rsidR="005936FD">
        <w:t xml:space="preserve">was testimonial for under the Self-Incrimination Clause and therefore </w:t>
      </w:r>
      <w:r>
        <w:t xml:space="preserve">violated </w:t>
      </w:r>
      <w:r w:rsidR="005936FD">
        <w:t>his</w:t>
      </w:r>
      <w:r>
        <w:t xml:space="preserve"> Fifth Amendment </w:t>
      </w:r>
      <w:r w:rsidR="005936FD">
        <w:t xml:space="preserve">rights </w:t>
      </w:r>
      <w:r>
        <w:t xml:space="preserve">and remanded </w:t>
      </w:r>
      <w:r w:rsidR="009857ED">
        <w:t>the case to the district court to determine which, if any, of Schwartz’s convictions</w:t>
      </w:r>
      <w:r>
        <w:t xml:space="preserve"> must be vacated due to this error.</w:t>
      </w:r>
    </w:p>
    <w:p w14:paraId="2BA4F6D6" w14:textId="77777777" w:rsidR="005B349E" w:rsidRDefault="005B349E" w:rsidP="005B349E"/>
    <w:p w14:paraId="1743D3E9" w14:textId="77777777" w:rsidR="005B349E" w:rsidRPr="00D24847" w:rsidRDefault="005B349E" w:rsidP="005B349E">
      <w:pPr>
        <w:rPr>
          <w:b/>
          <w:bCs/>
        </w:rPr>
      </w:pPr>
      <w:r w:rsidRPr="00D24847">
        <w:rPr>
          <w:b/>
          <w:bCs/>
        </w:rPr>
        <w:t>Moore v. Oakland County</w:t>
      </w:r>
    </w:p>
    <w:p w14:paraId="5160A1DB" w14:textId="530E633D" w:rsidR="005B349E" w:rsidRDefault="005B349E" w:rsidP="005B349E">
      <w:r>
        <w:t>U.S. Court of Appeals for the Sixth Circuit</w:t>
      </w:r>
    </w:p>
    <w:p w14:paraId="032E2614" w14:textId="69C74AC9" w:rsidR="005B349E" w:rsidRDefault="00D24847" w:rsidP="005B349E">
      <w:r w:rsidRPr="00D24847">
        <w:t>January 23, 2025</w:t>
      </w:r>
    </w:p>
    <w:p w14:paraId="1C7786BD" w14:textId="77777777" w:rsidR="005B349E" w:rsidRDefault="005B349E" w:rsidP="005B349E">
      <w:r>
        <w:t>Docket: 24-1563</w:t>
      </w:r>
    </w:p>
    <w:p w14:paraId="50FCB7D4" w14:textId="77777777" w:rsidR="005B349E" w:rsidRDefault="005B349E" w:rsidP="005B349E"/>
    <w:p w14:paraId="402D4D70" w14:textId="0A3B6939" w:rsidR="005B349E" w:rsidRPr="005936FD" w:rsidRDefault="00D24847" w:rsidP="005B349E">
      <w:pPr>
        <w:rPr>
          <w:i/>
          <w:iCs/>
        </w:rPr>
      </w:pPr>
      <w:r w:rsidRPr="005936FD">
        <w:rPr>
          <w:i/>
          <w:iCs/>
        </w:rPr>
        <w:t xml:space="preserve">LEO LAW Topics </w:t>
      </w:r>
      <w:r w:rsidR="005936FD" w:rsidRPr="005936FD">
        <w:rPr>
          <w:i/>
          <w:iCs/>
        </w:rPr>
        <w:t>8-1, 9-12</w:t>
      </w:r>
      <w:r w:rsidRPr="005936FD">
        <w:rPr>
          <w:i/>
          <w:iCs/>
        </w:rPr>
        <w:t xml:space="preserve">: </w:t>
      </w:r>
      <w:r w:rsidR="005936FD" w:rsidRPr="005936FD">
        <w:rPr>
          <w:i/>
          <w:iCs/>
        </w:rPr>
        <w:t xml:space="preserve">Qualified Immunity granted because officer’s </w:t>
      </w:r>
      <w:r w:rsidR="00684DA8" w:rsidRPr="005936FD">
        <w:rPr>
          <w:i/>
          <w:iCs/>
        </w:rPr>
        <w:t xml:space="preserve">use of force was not clearly </w:t>
      </w:r>
      <w:r w:rsidR="005936FD" w:rsidRPr="005936FD">
        <w:rPr>
          <w:i/>
          <w:iCs/>
        </w:rPr>
        <w:t xml:space="preserve">established as </w:t>
      </w:r>
      <w:r w:rsidR="00684DA8" w:rsidRPr="005936FD">
        <w:rPr>
          <w:i/>
          <w:iCs/>
        </w:rPr>
        <w:t>excessive</w:t>
      </w:r>
      <w:r w:rsidR="005936FD" w:rsidRPr="005936FD">
        <w:rPr>
          <w:i/>
          <w:iCs/>
        </w:rPr>
        <w:t>.</w:t>
      </w:r>
    </w:p>
    <w:p w14:paraId="2500A51F" w14:textId="77777777" w:rsidR="005B349E" w:rsidRDefault="005B349E" w:rsidP="005B349E"/>
    <w:p w14:paraId="24CB4B2A" w14:textId="77777777" w:rsidR="005B349E" w:rsidRDefault="005B349E" w:rsidP="005B349E">
      <w:r>
        <w:t>Glorianna Moore was stopped by Officer Brian Wilson for speeding in Pontiac, Michigan. When Moore refused to show her license and moved her hands towards the center console, Wilson reached into her car, grabbed her arm, and ordered her to shut off the car. Moore resisted by screaming and twisting her body. Wilson restrained her by holding her arm and head until backup arrived. Moore was subsequently handcuffed and placed in Wilson's patrol car. Although an initial test indicated the presence of cocaine in Moore's car, further testing revealed it was not cocaine, leading to the dismissal of all charges against her.</w:t>
      </w:r>
    </w:p>
    <w:p w14:paraId="260F46E0" w14:textId="77777777" w:rsidR="005B349E" w:rsidRDefault="005B349E" w:rsidP="005B349E"/>
    <w:p w14:paraId="331ED731" w14:textId="523DFA3C" w:rsidR="005B349E" w:rsidRDefault="005B349E" w:rsidP="005B349E">
      <w:r>
        <w:t xml:space="preserve">Moore filed a </w:t>
      </w:r>
      <w:r w:rsidR="005936FD">
        <w:t xml:space="preserve">42 USC </w:t>
      </w:r>
      <w:r>
        <w:t>§1983 action against Wilson and other officers, alleging excessive force in violation of her Fourth Amendment rights. The United States District Court for the Eastern District of Michigan granted summary judgment to all defendants except Wilson, who appealed the denial of his motion for summary judgment based on qualified immunity.</w:t>
      </w:r>
    </w:p>
    <w:p w14:paraId="41324825" w14:textId="77777777" w:rsidR="005B349E" w:rsidRDefault="005B349E" w:rsidP="005B349E"/>
    <w:p w14:paraId="7AAA5B6C" w14:textId="41068903" w:rsidR="005B349E" w:rsidRDefault="005B349E" w:rsidP="005B349E">
      <w:r>
        <w:t>The United States Court of Appeals for the Sixth Circuit reviewed the case and reversed the district court's decision. The appellate court held that Officer Wilson did not violate clearly established Fourth Amendment principles. The court reasoned that Wilson's actions were reasonable given Moore's refusal to show her license, her movement towards the center console, and her active resistance. The court concluded that no clearly established law indicated that Wilson's use of force was excessive under the circumstances, thus entitling him to qualified immunity.</w:t>
      </w:r>
    </w:p>
    <w:p w14:paraId="7D520EA2" w14:textId="77777777" w:rsidR="005B349E" w:rsidRDefault="005B349E" w:rsidP="005B349E"/>
    <w:p w14:paraId="66E6A5D4" w14:textId="77777777" w:rsidR="005B349E" w:rsidRPr="00684DA8" w:rsidRDefault="005B349E" w:rsidP="005B349E">
      <w:pPr>
        <w:rPr>
          <w:b/>
          <w:bCs/>
        </w:rPr>
      </w:pPr>
      <w:r w:rsidRPr="00684DA8">
        <w:rPr>
          <w:b/>
          <w:bCs/>
        </w:rPr>
        <w:t>Stewardson v. Titus</w:t>
      </w:r>
    </w:p>
    <w:p w14:paraId="4CC75C4B" w14:textId="21773CB6" w:rsidR="005B349E" w:rsidRDefault="005B349E" w:rsidP="005B349E">
      <w:r>
        <w:t>U.S. Court of Appeals for the Seventh Circuit</w:t>
      </w:r>
    </w:p>
    <w:p w14:paraId="172C7DD8" w14:textId="525E2DCF" w:rsidR="005B349E" w:rsidRDefault="00684DA8" w:rsidP="005B349E">
      <w:r w:rsidRPr="00684DA8">
        <w:t>January 23, 2025</w:t>
      </w:r>
    </w:p>
    <w:p w14:paraId="20E47DB8" w14:textId="77777777" w:rsidR="005B349E" w:rsidRDefault="005B349E" w:rsidP="005B349E">
      <w:r>
        <w:t>Docket: 23-3262</w:t>
      </w:r>
    </w:p>
    <w:p w14:paraId="78B7C2CC" w14:textId="77777777" w:rsidR="005B349E" w:rsidRDefault="005B349E" w:rsidP="005B349E"/>
    <w:p w14:paraId="3105E9D3" w14:textId="466CA954" w:rsidR="0084627D" w:rsidRPr="0084627D" w:rsidRDefault="00684DA8" w:rsidP="005B349E">
      <w:pPr>
        <w:rPr>
          <w:i/>
          <w:iCs/>
        </w:rPr>
      </w:pPr>
      <w:r w:rsidRPr="0084627D">
        <w:rPr>
          <w:i/>
          <w:iCs/>
        </w:rPr>
        <w:t xml:space="preserve">LEO LAW Topics </w:t>
      </w:r>
      <w:r w:rsidR="0084627D" w:rsidRPr="0084627D">
        <w:rPr>
          <w:i/>
          <w:iCs/>
        </w:rPr>
        <w:t>8-1, 8-5</w:t>
      </w:r>
      <w:r w:rsidR="0084627D">
        <w:rPr>
          <w:i/>
          <w:iCs/>
        </w:rPr>
        <w:t>, 9-12, 9-15</w:t>
      </w:r>
      <w:r w:rsidRPr="0084627D">
        <w:rPr>
          <w:i/>
          <w:iCs/>
        </w:rPr>
        <w:t xml:space="preserve">: </w:t>
      </w:r>
      <w:r w:rsidR="0084627D" w:rsidRPr="0084627D">
        <w:rPr>
          <w:i/>
          <w:iCs/>
        </w:rPr>
        <w:t>Officer</w:t>
      </w:r>
      <w:r w:rsidR="0084627D">
        <w:rPr>
          <w:i/>
          <w:iCs/>
        </w:rPr>
        <w:t>’s use of force</w:t>
      </w:r>
      <w:r w:rsidR="0084627D" w:rsidRPr="0084627D">
        <w:rPr>
          <w:i/>
          <w:iCs/>
        </w:rPr>
        <w:t xml:space="preserve"> </w:t>
      </w:r>
      <w:r w:rsidR="0084627D" w:rsidRPr="0084627D">
        <w:rPr>
          <w:i/>
          <w:iCs/>
        </w:rPr>
        <w:t>violate</w:t>
      </w:r>
      <w:r w:rsidR="0084627D">
        <w:rPr>
          <w:i/>
          <w:iCs/>
        </w:rPr>
        <w:t>d</w:t>
      </w:r>
      <w:r w:rsidR="0084627D" w:rsidRPr="0084627D">
        <w:rPr>
          <w:i/>
          <w:iCs/>
        </w:rPr>
        <w:t xml:space="preserve"> clearly established law regarding excessive force</w:t>
      </w:r>
      <w:r w:rsidR="0084627D">
        <w:rPr>
          <w:i/>
          <w:iCs/>
        </w:rPr>
        <w:t xml:space="preserve">, but there was no </w:t>
      </w:r>
      <w:r w:rsidR="0084627D" w:rsidRPr="0084627D">
        <w:rPr>
          <w:i/>
          <w:iCs/>
        </w:rPr>
        <w:t>failure to intervene</w:t>
      </w:r>
      <w:r w:rsidR="0084627D">
        <w:rPr>
          <w:i/>
          <w:iCs/>
        </w:rPr>
        <w:t xml:space="preserve"> or municipal liability.</w:t>
      </w:r>
      <w:r w:rsidR="0084627D" w:rsidRPr="0084627D">
        <w:rPr>
          <w:i/>
          <w:iCs/>
        </w:rPr>
        <w:t xml:space="preserve"> </w:t>
      </w:r>
    </w:p>
    <w:p w14:paraId="469AB29E" w14:textId="77777777" w:rsidR="0084627D" w:rsidRDefault="0084627D" w:rsidP="005B349E"/>
    <w:p w14:paraId="07D402F5" w14:textId="4AE82330" w:rsidR="005B349E" w:rsidRDefault="005B349E" w:rsidP="005B349E">
      <w:r>
        <w:t>Blake Stewardson was arrested for driving under the influence on January 1, 2018, and taken to Cass County Jail. While intoxicated, he directed profanities at police and resisted during intake, leading Officer Titus to slam his head against a wall twice, causing a cut. Titus then performed a leg sweep, causing Stewardson to fall and hit his head. Later, Titus opened a cell door into Stewardson and performed a hip toss. Stewardson sued Titus and Biggs, alleging excessive force and failure to intervene.</w:t>
      </w:r>
    </w:p>
    <w:p w14:paraId="6B821ABD" w14:textId="77777777" w:rsidR="005B349E" w:rsidRDefault="005B349E" w:rsidP="005B349E"/>
    <w:p w14:paraId="7948A52A" w14:textId="4EF0009B" w:rsidR="005B349E" w:rsidRDefault="005B349E" w:rsidP="005B349E">
      <w:r>
        <w:lastRenderedPageBreak/>
        <w:t xml:space="preserve">The United States District Court for the Northern District of Indiana allowed two </w:t>
      </w:r>
      <w:r w:rsidR="0084627D">
        <w:t xml:space="preserve">claims </w:t>
      </w:r>
      <w:r>
        <w:t>to proceed to trial: one against Titus for excessive force and one against Biggs for failing to intervene. The jury found Titus liable and awarded $400,000 in compensatory damages and $850,000 in punitive damages. Biggs was found not liable for failing to intervene. Titus appealed the punitive damages award, and Stewardson cross-appealed the summary judgment decisions.</w:t>
      </w:r>
    </w:p>
    <w:p w14:paraId="72F53AA9" w14:textId="77777777" w:rsidR="005B349E" w:rsidRDefault="005B349E" w:rsidP="005B349E"/>
    <w:p w14:paraId="04B95234" w14:textId="68540C6E" w:rsidR="005B349E" w:rsidRDefault="005B349E" w:rsidP="005B349E">
      <w:r>
        <w:t>The United States Court of Appeals for the Seventh Circuit upheld the jury's punitive damages award against Titus, finding it not unconstitutionally excessive given the reprehensibility of his conduct, the ratio of punitive to compensatory damages, and comparable cases. The court also affirmed the district court's summary judgment in favor of Biggs, concluding that he did not violate clearly established law regarding excessive force or failure to intervene. Additionally, the court upheld the summary judgment on Stewardson's Monell claim against Cass County, finding insufficient evidence of an unconstitutional custom.</w:t>
      </w:r>
    </w:p>
    <w:p w14:paraId="28975ECD" w14:textId="77777777" w:rsidR="005B349E" w:rsidRDefault="005B349E" w:rsidP="005B349E"/>
    <w:p w14:paraId="3AA6FA0C" w14:textId="77777777" w:rsidR="005B349E" w:rsidRPr="00684DA8" w:rsidRDefault="005B349E" w:rsidP="005B349E">
      <w:pPr>
        <w:rPr>
          <w:b/>
          <w:bCs/>
        </w:rPr>
      </w:pPr>
      <w:r w:rsidRPr="00684DA8">
        <w:rPr>
          <w:b/>
          <w:bCs/>
        </w:rPr>
        <w:t>United States v. Perez</w:t>
      </w:r>
    </w:p>
    <w:p w14:paraId="72B790BA" w14:textId="1CA6066D" w:rsidR="005B349E" w:rsidRDefault="005B349E" w:rsidP="005B349E">
      <w:r>
        <w:t>U.S. Court of Appeals for the Tenth Circuit</w:t>
      </w:r>
    </w:p>
    <w:p w14:paraId="0738231D" w14:textId="3B39B143" w:rsidR="005B349E" w:rsidRDefault="00684DA8" w:rsidP="005B349E">
      <w:r w:rsidRPr="00684DA8">
        <w:t>January 17, 2025</w:t>
      </w:r>
    </w:p>
    <w:p w14:paraId="0FA7C69C" w14:textId="77777777" w:rsidR="005B349E" w:rsidRDefault="005B349E" w:rsidP="005B349E">
      <w:r>
        <w:t>Docket: 24-3015</w:t>
      </w:r>
    </w:p>
    <w:p w14:paraId="327B158E" w14:textId="77777777" w:rsidR="005B349E" w:rsidRDefault="005B349E" w:rsidP="005B349E"/>
    <w:p w14:paraId="4A1A8AF4" w14:textId="0C9E02F3" w:rsidR="005B349E" w:rsidRPr="0084627D" w:rsidRDefault="00684DA8" w:rsidP="005B349E">
      <w:pPr>
        <w:rPr>
          <w:i/>
          <w:iCs/>
        </w:rPr>
      </w:pPr>
      <w:r w:rsidRPr="0084627D">
        <w:rPr>
          <w:i/>
          <w:iCs/>
        </w:rPr>
        <w:t xml:space="preserve">LEO LAW Topics </w:t>
      </w:r>
      <w:r w:rsidR="0084627D" w:rsidRPr="0084627D">
        <w:rPr>
          <w:i/>
          <w:iCs/>
        </w:rPr>
        <w:t>1-12, 5-15, 7-6</w:t>
      </w:r>
      <w:r w:rsidRPr="0084627D">
        <w:rPr>
          <w:i/>
          <w:iCs/>
        </w:rPr>
        <w:t xml:space="preserve">: </w:t>
      </w:r>
      <w:r w:rsidR="0084627D" w:rsidRPr="0084627D">
        <w:rPr>
          <w:i/>
          <w:iCs/>
        </w:rPr>
        <w:t>T</w:t>
      </w:r>
      <w:r w:rsidRPr="0084627D">
        <w:rPr>
          <w:i/>
          <w:iCs/>
        </w:rPr>
        <w:t>he inevitable-discovery doctrine applied to the pre-Miranda statement and subsequent waiver was voluntarily and knowingly made and not coerced</w:t>
      </w:r>
      <w:r w:rsidR="0084627D" w:rsidRPr="0084627D">
        <w:rPr>
          <w:i/>
          <w:iCs/>
        </w:rPr>
        <w:t>.</w:t>
      </w:r>
    </w:p>
    <w:p w14:paraId="77518608" w14:textId="77777777" w:rsidR="005B349E" w:rsidRDefault="005B349E" w:rsidP="005B349E"/>
    <w:p w14:paraId="0D8FE77B" w14:textId="77777777" w:rsidR="005B349E" w:rsidRDefault="005B349E" w:rsidP="005B349E">
      <w:r>
        <w:t xml:space="preserve">Law enforcement identified the defendant as a supplier of methamphetamine and fentanyl in a drug-trafficking conspiracy in Kansas City. After seizing three pounds of methamphetamine from a car </w:t>
      </w:r>
      <w:proofErr w:type="spellStart"/>
      <w:r>
        <w:t>en</w:t>
      </w:r>
      <w:proofErr w:type="spellEnd"/>
      <w:r>
        <w:t xml:space="preserve"> route to the defendant, DEA agents enlisted the driver to continue the delivery to the defendant. The defendant was arrested upon arrival to collect the drugs. During custody, the defendant made incriminating statements and consented to a search of his cell phone. He later moved to suppress these statements and the phone's contents.</w:t>
      </w:r>
    </w:p>
    <w:p w14:paraId="64B015D9" w14:textId="77777777" w:rsidR="005B349E" w:rsidRDefault="005B349E" w:rsidP="005B349E"/>
    <w:p w14:paraId="52432090" w14:textId="5161C116" w:rsidR="005B349E" w:rsidRDefault="005B349E" w:rsidP="005B349E">
      <w:r>
        <w:t>The United States District Court for the District of Kansas denied the suppression motions. The court ruled that the defendant's pre-Miranda statement about his cell phone number was admissible under the inevitable-discovery doctrine. It also found that the defendant voluntarily and knowingly waived his Miranda rights</w:t>
      </w:r>
      <w:r w:rsidR="0084627D">
        <w:t>,</w:t>
      </w:r>
      <w:r>
        <w:t xml:space="preserve"> and that his post-Miranda statements were not coerced. The court concluded that the defendant's consent to the cell phone search was voluntary.</w:t>
      </w:r>
    </w:p>
    <w:p w14:paraId="74452261" w14:textId="77777777" w:rsidR="005B349E" w:rsidRDefault="005B349E" w:rsidP="005B349E"/>
    <w:p w14:paraId="26E4DF62" w14:textId="1003E516" w:rsidR="005B349E" w:rsidRDefault="005B349E" w:rsidP="005B349E">
      <w:r>
        <w:t>The United States Court of Appeals for the Tenth Circuit reviewed the case. The court affirmed the district court's decision, agreeing that the inevitable-discovery doctrine applied to the pre-Miranda statement. It found that the defendant voluntarily and knowingly waived his Miranda rights, and his statements were not coerced. The court also held that the defendant's consent to the cell phone search was voluntary. The Tenth Circuit concluded that the totality of the circumstances supported the district court's findings and affirmed the denial of suppression.</w:t>
      </w:r>
    </w:p>
    <w:sectPr w:rsidR="005B3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I1MTY0tjQzsDA2NjJR0lEKTi0uzszPAykwrAUAcGuOhywAAAA="/>
  </w:docVars>
  <w:rsids>
    <w:rsidRoot w:val="002022F4"/>
    <w:rsid w:val="002022F4"/>
    <w:rsid w:val="002550DE"/>
    <w:rsid w:val="003A1308"/>
    <w:rsid w:val="003D5635"/>
    <w:rsid w:val="005936FD"/>
    <w:rsid w:val="005B349E"/>
    <w:rsid w:val="00642023"/>
    <w:rsid w:val="00684DA8"/>
    <w:rsid w:val="0084627D"/>
    <w:rsid w:val="00940193"/>
    <w:rsid w:val="009857ED"/>
    <w:rsid w:val="009A3417"/>
    <w:rsid w:val="00B60BAF"/>
    <w:rsid w:val="00B7290D"/>
    <w:rsid w:val="00C04E35"/>
    <w:rsid w:val="00D24847"/>
    <w:rsid w:val="00DF4922"/>
    <w:rsid w:val="00E81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CCA48"/>
  <w15:chartTrackingRefBased/>
  <w15:docId w15:val="{8517CE0F-D0DE-4510-A9A7-111F4334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2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2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2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2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2F4"/>
    <w:rPr>
      <w:rFonts w:eastAsiaTheme="majorEastAsia" w:cstheme="majorBidi"/>
      <w:color w:val="272727" w:themeColor="text1" w:themeTint="D8"/>
    </w:rPr>
  </w:style>
  <w:style w:type="paragraph" w:styleId="Title">
    <w:name w:val="Title"/>
    <w:basedOn w:val="Normal"/>
    <w:next w:val="Normal"/>
    <w:link w:val="TitleChar"/>
    <w:uiPriority w:val="10"/>
    <w:qFormat/>
    <w:rsid w:val="002022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2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2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2F4"/>
    <w:rPr>
      <w:i/>
      <w:iCs/>
      <w:color w:val="404040" w:themeColor="text1" w:themeTint="BF"/>
    </w:rPr>
  </w:style>
  <w:style w:type="paragraph" w:styleId="ListParagraph">
    <w:name w:val="List Paragraph"/>
    <w:basedOn w:val="Normal"/>
    <w:uiPriority w:val="34"/>
    <w:qFormat/>
    <w:rsid w:val="002022F4"/>
    <w:pPr>
      <w:ind w:left="720"/>
      <w:contextualSpacing/>
    </w:pPr>
  </w:style>
  <w:style w:type="character" w:styleId="IntenseEmphasis">
    <w:name w:val="Intense Emphasis"/>
    <w:basedOn w:val="DefaultParagraphFont"/>
    <w:uiPriority w:val="21"/>
    <w:qFormat/>
    <w:rsid w:val="002022F4"/>
    <w:rPr>
      <w:i/>
      <w:iCs/>
      <w:color w:val="2F5496" w:themeColor="accent1" w:themeShade="BF"/>
    </w:rPr>
  </w:style>
  <w:style w:type="paragraph" w:styleId="IntenseQuote">
    <w:name w:val="Intense Quote"/>
    <w:basedOn w:val="Normal"/>
    <w:next w:val="Normal"/>
    <w:link w:val="IntenseQuoteChar"/>
    <w:uiPriority w:val="30"/>
    <w:qFormat/>
    <w:rsid w:val="00202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2F4"/>
    <w:rPr>
      <w:i/>
      <w:iCs/>
      <w:color w:val="2F5496" w:themeColor="accent1" w:themeShade="BF"/>
    </w:rPr>
  </w:style>
  <w:style w:type="character" w:styleId="IntenseReference">
    <w:name w:val="Intense Reference"/>
    <w:basedOn w:val="DefaultParagraphFont"/>
    <w:uiPriority w:val="32"/>
    <w:qFormat/>
    <w:rsid w:val="002022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1373</Words>
  <Characters>7566</Characters>
  <Application>Microsoft Office Word</Application>
  <DocSecurity>0</DocSecurity>
  <Lines>137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2025-01-28T13:05:00Z</dcterms:created>
  <dcterms:modified xsi:type="dcterms:W3CDTF">2025-07-06T10:57:00Z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eb531e1e-0978-4810-9079-b2a1d1ef090e</vt:lpwstr>
  </property>
</Properties>
</file>