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6BA88" w14:textId="72050F7F" w:rsidR="00D41EC4" w:rsidRDefault="00151989">
      <w:r>
        <w:t>CASES 3 OCT 2025</w:t>
      </w:r>
    </w:p>
    <w:p w14:paraId="28F5D5FE" w14:textId="77777777" w:rsidR="00151989" w:rsidRDefault="00151989"/>
    <w:p w14:paraId="269050E0" w14:textId="77777777" w:rsidR="00613854" w:rsidRDefault="00613854" w:rsidP="00613854">
      <w:r>
        <w:t>United States v. Campbell</w:t>
      </w:r>
    </w:p>
    <w:p w14:paraId="097B6125" w14:textId="77777777" w:rsidR="00613854" w:rsidRDefault="00613854" w:rsidP="00613854"/>
    <w:p w14:paraId="5D4A6BA8" w14:textId="77777777" w:rsidR="00613854" w:rsidRDefault="00613854" w:rsidP="00613854">
      <w:r>
        <w:t>Court: U.S. Court of Appeals for the Tenth Circuit</w:t>
      </w:r>
    </w:p>
    <w:p w14:paraId="0B10F41C" w14:textId="77777777" w:rsidR="00613854" w:rsidRDefault="00613854" w:rsidP="00613854"/>
    <w:p w14:paraId="2471951D" w14:textId="77777777" w:rsidR="00613854" w:rsidRDefault="00613854" w:rsidP="00613854">
      <w:r>
        <w:t>Docket: 23-6186</w:t>
      </w:r>
    </w:p>
    <w:p w14:paraId="34724331" w14:textId="77777777" w:rsidR="00613854" w:rsidRDefault="00613854" w:rsidP="00613854"/>
    <w:p w14:paraId="1E88777C" w14:textId="77777777" w:rsidR="00613854" w:rsidRDefault="00613854" w:rsidP="00613854">
      <w:r>
        <w:t>Opinion Date: September 30, 2025</w:t>
      </w:r>
    </w:p>
    <w:p w14:paraId="745C8ADD" w14:textId="77777777" w:rsidR="00613854" w:rsidRDefault="00613854" w:rsidP="00613854"/>
    <w:p w14:paraId="1D4830AE" w14:textId="77777777" w:rsidR="00613854" w:rsidRDefault="00613854" w:rsidP="00613854">
      <w:r>
        <w:t>Judge: Nancy Moritz</w:t>
      </w:r>
    </w:p>
    <w:p w14:paraId="7580485E" w14:textId="77777777" w:rsidR="00613854" w:rsidRDefault="00613854" w:rsidP="00613854"/>
    <w:p w14:paraId="55653116" w14:textId="77777777" w:rsidR="00613854" w:rsidRDefault="00613854" w:rsidP="00613854">
      <w:r>
        <w:t>Areas of Law: Constitutional Law, Criminal Law</w:t>
      </w:r>
    </w:p>
    <w:p w14:paraId="26190B69" w14:textId="77777777" w:rsidR="00613854" w:rsidRDefault="00613854" w:rsidP="00613854"/>
    <w:p w14:paraId="29D77CA2" w14:textId="77777777" w:rsidR="00613854" w:rsidRDefault="00613854" w:rsidP="00613854">
      <w:r>
        <w:t>Late one night, a homeowner called 911 to report that her security camera showed a Black man and woman taking items from her back porch. Within minutes, a police officer arrived and encountered Michael Campbell near the reported location. Campbell claimed to live at the residence and was uncooperative with the officer’s instructions, repeatedly dropping his hands and reaching for his wallet despite being told not to. The officer noticed what appeared to be a gun magazine in Campbell’s waistband and, after a brief exchange, frisked Campbell, discovering a firearm and a knife. Campbell was subsequently indicted for being a felon in possession of a firearm.</w:t>
      </w:r>
    </w:p>
    <w:p w14:paraId="4AD52340" w14:textId="77777777" w:rsidR="00613854" w:rsidRDefault="00613854" w:rsidP="00613854"/>
    <w:p w14:paraId="6DB62444" w14:textId="77777777" w:rsidR="00613854" w:rsidRDefault="00613854" w:rsidP="00613854">
      <w:r>
        <w:t xml:space="preserve">The United States District Court for the Western District of Oklahoma denied Campbell’s motion to suppress the firearm, finding that the officer had reasonable suspicion to detain and frisk Campbell and that this suspicion had not dissipated before the frisk. Campbell was convicted at trial. At sentencing, the district court determined that Campbell’s five prior Oklahoma armed robbery convictions qualified as violent felonies under the Armed Career Criminal Act (ACCA), subjecting him to a 15-year mandatory minimum sentence. </w:t>
      </w:r>
      <w:r>
        <w:lastRenderedPageBreak/>
        <w:t>Campbell was sentenced to 240 months, above the statutory maximum for the felon-in-possession offense but below the Guidelines range.</w:t>
      </w:r>
    </w:p>
    <w:p w14:paraId="7F9A329F" w14:textId="77777777" w:rsidR="00613854" w:rsidRDefault="00613854" w:rsidP="00613854"/>
    <w:p w14:paraId="5EA43A35" w14:textId="5994E995" w:rsidR="00151989" w:rsidRDefault="00613854" w:rsidP="00613854">
      <w:r>
        <w:t>On appeal, the United States Court of Appeals for the Tenth Circuit affirmed the district court’s denial of the suppression motion and upheld the constitutionality of the felon-in-possession statute. However, the Tenth Circuit held that Oklahoma armed robbery can be committed with a reckless state of mind and therefore does not categorically qualify as a violent felony under the ACCA’s elements clause. The court vacated Campbell’s sentence and remanded for resentencing, while affirming his conviction.</w:t>
      </w:r>
    </w:p>
    <w:p w14:paraId="4ECAAC6B" w14:textId="714F826A" w:rsidR="00613854" w:rsidRDefault="00613854" w:rsidP="00613854">
      <w:hyperlink r:id="rId4" w:history="1">
        <w:r w:rsidRPr="00B168DA">
          <w:rPr>
            <w:rStyle w:val="Hyperlink"/>
          </w:rPr>
          <w:t>https://cases.justia.com/federal/appellate-courts/ca10/23-6186/23-6186-2025-09-30.pdf</w:t>
        </w:r>
      </w:hyperlink>
    </w:p>
    <w:p w14:paraId="7986821F" w14:textId="77777777" w:rsidR="00613854" w:rsidRDefault="00613854" w:rsidP="00613854"/>
    <w:p w14:paraId="72E7EFE7" w14:textId="77777777" w:rsidR="00613854" w:rsidRDefault="00613854" w:rsidP="00613854">
      <w:r>
        <w:t>Pam v. City of Evansville</w:t>
      </w:r>
    </w:p>
    <w:p w14:paraId="46EB764A" w14:textId="77777777" w:rsidR="00613854" w:rsidRDefault="00613854" w:rsidP="00613854"/>
    <w:p w14:paraId="5225DB02" w14:textId="77777777" w:rsidR="00613854" w:rsidRDefault="00613854" w:rsidP="00613854">
      <w:r>
        <w:t>Court: U.S. Court of Appeals for the Seventh Circuit</w:t>
      </w:r>
    </w:p>
    <w:p w14:paraId="114FCBAC" w14:textId="77777777" w:rsidR="00613854" w:rsidRDefault="00613854" w:rsidP="00613854"/>
    <w:p w14:paraId="3D454732" w14:textId="77777777" w:rsidR="00613854" w:rsidRDefault="00613854" w:rsidP="00613854">
      <w:r>
        <w:t>Docket: 24-2286</w:t>
      </w:r>
    </w:p>
    <w:p w14:paraId="25C92E78" w14:textId="77777777" w:rsidR="00613854" w:rsidRDefault="00613854" w:rsidP="00613854"/>
    <w:p w14:paraId="32087B40" w14:textId="77777777" w:rsidR="00613854" w:rsidRDefault="00613854" w:rsidP="00613854">
      <w:r>
        <w:t>Opinion Date: September 26, 2025</w:t>
      </w:r>
    </w:p>
    <w:p w14:paraId="0A6D0EEF" w14:textId="77777777" w:rsidR="00613854" w:rsidRDefault="00613854" w:rsidP="00613854"/>
    <w:p w14:paraId="14E2A1A5" w14:textId="77777777" w:rsidR="00613854" w:rsidRDefault="00613854" w:rsidP="00613854">
      <w:r>
        <w:t>Judge: Joshua Kolar</w:t>
      </w:r>
    </w:p>
    <w:p w14:paraId="556000F8" w14:textId="77777777" w:rsidR="00613854" w:rsidRDefault="00613854" w:rsidP="00613854"/>
    <w:p w14:paraId="5F12159D" w14:textId="77777777" w:rsidR="00613854" w:rsidRDefault="00613854" w:rsidP="00613854">
      <w:r>
        <w:t>Areas of Law: Civil Rights</w:t>
      </w:r>
    </w:p>
    <w:p w14:paraId="53D41AF9" w14:textId="77777777" w:rsidR="00613854" w:rsidRDefault="00613854" w:rsidP="00613854"/>
    <w:p w14:paraId="0B1BB4BA" w14:textId="77777777" w:rsidR="00613854" w:rsidRDefault="00613854" w:rsidP="00613854">
      <w:r>
        <w:t xml:space="preserve">Rodriquez </w:t>
      </w:r>
      <w:proofErr w:type="spellStart"/>
      <w:r>
        <w:t>D’Aundre</w:t>
      </w:r>
      <w:proofErr w:type="spellEnd"/>
      <w:r>
        <w:t xml:space="preserve"> Pam was shot and killed by Evansville police officers responding to a 911 call reporting that a man matching Pam’s description was in a backyard with a handgun, allegedly pointing it at a dog and at the caller. Officers arrived, encountered Pam on the property, and repeatedly ordered him to show his hands and get on the ground. Pam did not comply, appeared to reach for the doorknob, then moved along the house, put his hands in his pockets, and removed them when ordered. As officers continued to issue commands, Pam raised his left hand and kept his right hand at his side. Officers then fired </w:t>
      </w:r>
      <w:r>
        <w:lastRenderedPageBreak/>
        <w:t>multiple shots, killing him. A handgun was found near Pam’s body. Body camera footage captured the incident, but the video was unclear as to whether Pam was holding a gun at the moment he was shot.</w:t>
      </w:r>
    </w:p>
    <w:p w14:paraId="40F0F71F" w14:textId="77777777" w:rsidR="00613854" w:rsidRDefault="00613854" w:rsidP="00613854"/>
    <w:p w14:paraId="774538E6" w14:textId="77777777" w:rsidR="00613854" w:rsidRDefault="00613854" w:rsidP="00613854">
      <w:r>
        <w:t>The United States District Court for the Southern District of Indiana granted summary judgment in favor of the officers, finding it undisputed that Pam pointed a gun at them before they fired. Pam’s estate appealed, challenging the grant of summary judgment for Officers Offerman and McQuay.</w:t>
      </w:r>
    </w:p>
    <w:p w14:paraId="35A4CB30" w14:textId="77777777" w:rsidR="00613854" w:rsidRDefault="00613854" w:rsidP="00613854"/>
    <w:p w14:paraId="662EE8B9" w14:textId="0E13BF31" w:rsidR="00613854" w:rsidRDefault="00613854" w:rsidP="00613854">
      <w:r>
        <w:t>The United States Court of Appeals for the Seventh Circuit reviewed the case de novo, considering the evidence in the light most favorable to the estate. The court found that, while the video did not conclusively show Pam pointing a gun, the officers’ belief that Pam was threatening them with a firearm was objectively reasonable given the circumstances, including the 911 report, Pam’s actions, and the recovery of a gun. The Seventh Circuit held that the officers were entitled to qualified immunity because their perception and response did not violate clearly established law. The court affirmed the district court’s grant of summary judgment.</w:t>
      </w:r>
    </w:p>
    <w:p w14:paraId="36FE48FA" w14:textId="7C854288" w:rsidR="00613854" w:rsidRDefault="00613854" w:rsidP="00613854">
      <w:hyperlink r:id="rId5" w:history="1">
        <w:r w:rsidRPr="00B168DA">
          <w:rPr>
            <w:rStyle w:val="Hyperlink"/>
          </w:rPr>
          <w:t>https://cases.justia.com/federal/appellate-courts/ca7/24-2286/24-2286-2025-09-26.pdf</w:t>
        </w:r>
      </w:hyperlink>
    </w:p>
    <w:p w14:paraId="09AFF2D7" w14:textId="77777777" w:rsidR="00613854" w:rsidRDefault="00613854" w:rsidP="00613854"/>
    <w:p w14:paraId="4F869B86" w14:textId="77777777" w:rsidR="00613854" w:rsidRDefault="00613854" w:rsidP="00613854"/>
    <w:p w14:paraId="0FED8230" w14:textId="77777777" w:rsidR="00613854" w:rsidRDefault="00613854" w:rsidP="00613854"/>
    <w:p w14:paraId="1CA2D3F2" w14:textId="77777777" w:rsidR="00151989" w:rsidRDefault="00151989"/>
    <w:sectPr w:rsidR="00151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89"/>
    <w:rsid w:val="00151989"/>
    <w:rsid w:val="004E3816"/>
    <w:rsid w:val="00570746"/>
    <w:rsid w:val="00613854"/>
    <w:rsid w:val="00A81158"/>
    <w:rsid w:val="00C464E8"/>
    <w:rsid w:val="00D4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684D"/>
  <w15:chartTrackingRefBased/>
  <w15:docId w15:val="{7EBAD70D-5137-4A97-B924-3A77703B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989"/>
    <w:rPr>
      <w:rFonts w:eastAsiaTheme="majorEastAsia" w:cstheme="majorBidi"/>
      <w:color w:val="272727" w:themeColor="text1" w:themeTint="D8"/>
    </w:rPr>
  </w:style>
  <w:style w:type="paragraph" w:styleId="Title">
    <w:name w:val="Title"/>
    <w:basedOn w:val="Normal"/>
    <w:next w:val="Normal"/>
    <w:link w:val="TitleChar"/>
    <w:uiPriority w:val="10"/>
    <w:qFormat/>
    <w:rsid w:val="00151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989"/>
    <w:pPr>
      <w:spacing w:before="160"/>
      <w:jc w:val="center"/>
    </w:pPr>
    <w:rPr>
      <w:i/>
      <w:iCs/>
      <w:color w:val="404040" w:themeColor="text1" w:themeTint="BF"/>
    </w:rPr>
  </w:style>
  <w:style w:type="character" w:customStyle="1" w:styleId="QuoteChar">
    <w:name w:val="Quote Char"/>
    <w:basedOn w:val="DefaultParagraphFont"/>
    <w:link w:val="Quote"/>
    <w:uiPriority w:val="29"/>
    <w:rsid w:val="00151989"/>
    <w:rPr>
      <w:i/>
      <w:iCs/>
      <w:color w:val="404040" w:themeColor="text1" w:themeTint="BF"/>
    </w:rPr>
  </w:style>
  <w:style w:type="paragraph" w:styleId="ListParagraph">
    <w:name w:val="List Paragraph"/>
    <w:basedOn w:val="Normal"/>
    <w:uiPriority w:val="34"/>
    <w:qFormat/>
    <w:rsid w:val="00151989"/>
    <w:pPr>
      <w:ind w:left="720"/>
      <w:contextualSpacing/>
    </w:pPr>
  </w:style>
  <w:style w:type="character" w:styleId="IntenseEmphasis">
    <w:name w:val="Intense Emphasis"/>
    <w:basedOn w:val="DefaultParagraphFont"/>
    <w:uiPriority w:val="21"/>
    <w:qFormat/>
    <w:rsid w:val="00151989"/>
    <w:rPr>
      <w:i/>
      <w:iCs/>
      <w:color w:val="0F4761" w:themeColor="accent1" w:themeShade="BF"/>
    </w:rPr>
  </w:style>
  <w:style w:type="paragraph" w:styleId="IntenseQuote">
    <w:name w:val="Intense Quote"/>
    <w:basedOn w:val="Normal"/>
    <w:next w:val="Normal"/>
    <w:link w:val="IntenseQuoteChar"/>
    <w:uiPriority w:val="30"/>
    <w:qFormat/>
    <w:rsid w:val="00151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989"/>
    <w:rPr>
      <w:i/>
      <w:iCs/>
      <w:color w:val="0F4761" w:themeColor="accent1" w:themeShade="BF"/>
    </w:rPr>
  </w:style>
  <w:style w:type="character" w:styleId="IntenseReference">
    <w:name w:val="Intense Reference"/>
    <w:basedOn w:val="DefaultParagraphFont"/>
    <w:uiPriority w:val="32"/>
    <w:qFormat/>
    <w:rsid w:val="00151989"/>
    <w:rPr>
      <w:b/>
      <w:bCs/>
      <w:smallCaps/>
      <w:color w:val="0F4761" w:themeColor="accent1" w:themeShade="BF"/>
      <w:spacing w:val="5"/>
    </w:rPr>
  </w:style>
  <w:style w:type="character" w:styleId="Hyperlink">
    <w:name w:val="Hyperlink"/>
    <w:basedOn w:val="DefaultParagraphFont"/>
    <w:uiPriority w:val="99"/>
    <w:unhideWhenUsed/>
    <w:rsid w:val="00613854"/>
    <w:rPr>
      <w:color w:val="467886" w:themeColor="hyperlink"/>
      <w:u w:val="single"/>
    </w:rPr>
  </w:style>
  <w:style w:type="character" w:styleId="UnresolvedMention">
    <w:name w:val="Unresolved Mention"/>
    <w:basedOn w:val="DefaultParagraphFont"/>
    <w:uiPriority w:val="99"/>
    <w:semiHidden/>
    <w:unhideWhenUsed/>
    <w:rsid w:val="00613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ses.justia.com/federal/appellate-courts/ca7/24-2286/24-2286-2025-09-26.pdf" TargetMode="External"/><Relationship Id="rId4" Type="http://schemas.openxmlformats.org/officeDocument/2006/relationships/hyperlink" Target="https://cases.justia.com/federal/appellate-courts/ca10/23-6186/23-6186-2025-09-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2</cp:revision>
  <dcterms:created xsi:type="dcterms:W3CDTF">2025-10-03T18:21:00Z</dcterms:created>
  <dcterms:modified xsi:type="dcterms:W3CDTF">2025-10-03T18:37:00Z</dcterms:modified>
</cp:coreProperties>
</file>