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BCB2" w14:textId="30C58973" w:rsidR="00D41EC4" w:rsidRDefault="000B7420" w:rsidP="00FA5DD0">
      <w:pPr>
        <w:spacing w:after="0" w:line="240" w:lineRule="auto"/>
      </w:pPr>
      <w:r>
        <w:t>CASES 10OCT2025</w:t>
      </w:r>
    </w:p>
    <w:p w14:paraId="6940CD01" w14:textId="77777777" w:rsidR="009D3293" w:rsidRDefault="009D3293" w:rsidP="00FA5DD0">
      <w:pPr>
        <w:spacing w:after="0" w:line="240" w:lineRule="auto"/>
      </w:pPr>
    </w:p>
    <w:p w14:paraId="2986D6A6" w14:textId="77777777" w:rsidR="009D3293" w:rsidRPr="00FA5DD0" w:rsidRDefault="009D3293" w:rsidP="00FA5DD0">
      <w:pPr>
        <w:spacing w:after="0" w:line="240" w:lineRule="auto"/>
        <w:rPr>
          <w:b/>
          <w:bCs/>
        </w:rPr>
      </w:pPr>
      <w:r w:rsidRPr="00FA5DD0">
        <w:rPr>
          <w:b/>
          <w:bCs/>
        </w:rPr>
        <w:t>United States v. Coleman</w:t>
      </w:r>
    </w:p>
    <w:p w14:paraId="5F875469" w14:textId="766E655B" w:rsidR="009D3293" w:rsidRDefault="009D3293" w:rsidP="00FA5DD0">
      <w:pPr>
        <w:spacing w:after="0" w:line="240" w:lineRule="auto"/>
      </w:pPr>
      <w:r>
        <w:t>U.S. Court of Appeals for the Seventh Circuit</w:t>
      </w:r>
    </w:p>
    <w:p w14:paraId="48E0AB41" w14:textId="77777777" w:rsidR="009D3293" w:rsidRDefault="009D3293" w:rsidP="00FA5DD0">
      <w:pPr>
        <w:spacing w:after="0" w:line="240" w:lineRule="auto"/>
      </w:pPr>
      <w:r>
        <w:t>Docket: 24-3051</w:t>
      </w:r>
    </w:p>
    <w:p w14:paraId="77821BE6" w14:textId="737CABDC" w:rsidR="009D3293" w:rsidRDefault="009D3293" w:rsidP="00FA5DD0">
      <w:pPr>
        <w:spacing w:after="0" w:line="240" w:lineRule="auto"/>
      </w:pPr>
      <w:r>
        <w:t>October 7, 2025</w:t>
      </w:r>
    </w:p>
    <w:p w14:paraId="55752E7B" w14:textId="77777777" w:rsidR="009D3293" w:rsidRDefault="009D3293" w:rsidP="00FA5DD0">
      <w:pPr>
        <w:spacing w:after="0" w:line="240" w:lineRule="auto"/>
      </w:pPr>
    </w:p>
    <w:p w14:paraId="2763FB02" w14:textId="77777777" w:rsidR="00FA5DD0" w:rsidRDefault="00FA5DD0" w:rsidP="00FA5DD0">
      <w:pPr>
        <w:spacing w:after="0" w:line="240" w:lineRule="auto"/>
      </w:pPr>
    </w:p>
    <w:p w14:paraId="0B84FC21" w14:textId="1764EE77" w:rsidR="009D3293" w:rsidRDefault="00FA5DD0" w:rsidP="00FA5DD0">
      <w:pPr>
        <w:spacing w:after="0" w:line="240" w:lineRule="auto"/>
      </w:pPr>
      <w:r>
        <w:t>Summary: Consent to search was voluntary, and the search did not exceed the scope of the consent. (5-16)</w:t>
      </w:r>
    </w:p>
    <w:p w14:paraId="1D86DDBB" w14:textId="77777777" w:rsidR="009D3293" w:rsidRDefault="009D3293" w:rsidP="00FA5DD0">
      <w:pPr>
        <w:spacing w:after="0" w:line="240" w:lineRule="auto"/>
      </w:pPr>
    </w:p>
    <w:p w14:paraId="59F5184A" w14:textId="4C7956E2" w:rsidR="009D3293" w:rsidRDefault="009D3293" w:rsidP="00FA5DD0">
      <w:pPr>
        <w:spacing w:after="0" w:line="240" w:lineRule="auto"/>
      </w:pPr>
      <w:r>
        <w:t xml:space="preserve">Police in Marshfield, Wisconsin, </w:t>
      </w:r>
      <w:r w:rsidR="00FA5DD0" w:rsidRPr="00FA5DD0">
        <w:t xml:space="preserve">responded to a 911 call </w:t>
      </w:r>
      <w:r>
        <w:t xml:space="preserve">reporting that Jaison Coleman had threatened to kill his wife, Lisa Coleman, and was still inside their home. Officer Jamie Kizer arrived and spoke with Lisa on the porch, asking about the safety of her children and the location of her husband. Lisa hesitated to answer questions about her children’s safety and initially declined to allow the officer inside. After a brief pause, Lisa returned to the doorway, and following further discussion, she agreed to let Officer Kizer and his colleagues enter the home. Once inside, Lisa directed the officers to the children’s location and indicated where Coleman might be. The officers found Coleman, conducted a protective </w:t>
      </w:r>
      <w:r w:rsidR="00FA5DD0">
        <w:t>pat-down</w:t>
      </w:r>
      <w:r>
        <w:t>, and learned from the children that Coleman had threatened Lisa with a gun.</w:t>
      </w:r>
    </w:p>
    <w:p w14:paraId="2AB1A20E" w14:textId="77777777" w:rsidR="009D3293" w:rsidRDefault="009D3293" w:rsidP="00FA5DD0">
      <w:pPr>
        <w:spacing w:after="0" w:line="240" w:lineRule="auto"/>
      </w:pPr>
    </w:p>
    <w:p w14:paraId="7BA2BE63" w14:textId="77777777" w:rsidR="009D3293" w:rsidRDefault="009D3293" w:rsidP="00FA5DD0">
      <w:pPr>
        <w:spacing w:after="0" w:line="240" w:lineRule="auto"/>
      </w:pPr>
      <w:r>
        <w:t>Based on information obtained during their entry, the officers secured a warrant to search the home, which led to the discovery of several firearms. Coleman was indicted for unlawful possession of a firearm as a convicted felon under 18 U.S.C. § 922(g)(1). He moved to suppress the firearms, arguing that Lisa had not consented to the officers’ entry. A magistrate judge found that Lisa had consented and recommended denial of the motion. The United States District Court for the Western District of Wisconsin adopted the magistrate judge’s findings and denied the suppression motion, also concluding that the officers did not exceed the scope of Lisa’s consent. Coleman pleaded guilty but reserved the right to appeal the suppression ruling.</w:t>
      </w:r>
    </w:p>
    <w:p w14:paraId="2D6ECADC" w14:textId="77777777" w:rsidR="009D3293" w:rsidRDefault="009D3293" w:rsidP="00FA5DD0">
      <w:pPr>
        <w:spacing w:after="0" w:line="240" w:lineRule="auto"/>
      </w:pPr>
    </w:p>
    <w:p w14:paraId="4D2F78BB" w14:textId="63829081" w:rsidR="009D3293" w:rsidRDefault="00FA5DD0" w:rsidP="00FA5DD0">
      <w:pPr>
        <w:spacing w:after="0" w:line="240" w:lineRule="auto"/>
      </w:pPr>
      <w:r>
        <w:t>On appeal, t</w:t>
      </w:r>
      <w:r w:rsidR="009D3293">
        <w:t>he United States Court of Appeals for the Seventh Circuit reviewed the district court’s findings for clear error. The appellate court held that Lisa’s consent was voluntary and that the officers acted within the scope of her consent. The court affirmed Coleman’s conviction, finding no error in the district court’s rulings.</w:t>
      </w:r>
    </w:p>
    <w:p w14:paraId="3DC408EC" w14:textId="77777777" w:rsidR="00FA5DD0" w:rsidRDefault="00FA5DD0" w:rsidP="00FA5DD0">
      <w:pPr>
        <w:spacing w:after="0" w:line="240" w:lineRule="auto"/>
      </w:pPr>
    </w:p>
    <w:p w14:paraId="56EDC19A" w14:textId="60188A2A" w:rsidR="009D3293" w:rsidRDefault="009D3293" w:rsidP="00FA5DD0">
      <w:pPr>
        <w:spacing w:after="0" w:line="240" w:lineRule="auto"/>
      </w:pPr>
      <w:hyperlink r:id="rId4" w:history="1">
        <w:r w:rsidRPr="008248FD">
          <w:rPr>
            <w:rStyle w:val="Hyperlink"/>
          </w:rPr>
          <w:t>https://cases.justia.com/federal/appellate-courts/ca7/24-3051/24-3051-2025-10-07.pdf</w:t>
        </w:r>
      </w:hyperlink>
    </w:p>
    <w:p w14:paraId="338BB3EC" w14:textId="77777777" w:rsidR="009D3293" w:rsidRDefault="009D3293" w:rsidP="00FA5DD0">
      <w:pPr>
        <w:spacing w:after="0" w:line="240" w:lineRule="auto"/>
      </w:pPr>
    </w:p>
    <w:p w14:paraId="152930C8" w14:textId="77777777" w:rsidR="009D3293" w:rsidRPr="003F05E9" w:rsidRDefault="009D3293" w:rsidP="00FA5DD0">
      <w:pPr>
        <w:spacing w:after="0" w:line="240" w:lineRule="auto"/>
        <w:rPr>
          <w:b/>
          <w:bCs/>
        </w:rPr>
      </w:pPr>
      <w:r w:rsidRPr="003F05E9">
        <w:rPr>
          <w:b/>
          <w:bCs/>
        </w:rPr>
        <w:t>United States v. Diaz</w:t>
      </w:r>
    </w:p>
    <w:p w14:paraId="245CDBF9" w14:textId="77777777" w:rsidR="009D3293" w:rsidRDefault="009D3293" w:rsidP="00FA5DD0">
      <w:pPr>
        <w:spacing w:after="0" w:line="240" w:lineRule="auto"/>
      </w:pPr>
      <w:r>
        <w:t>Court: U.S. Court of Appeals for the Eighth Circuit</w:t>
      </w:r>
    </w:p>
    <w:p w14:paraId="6DBCEEEF" w14:textId="77777777" w:rsidR="009D3293" w:rsidRDefault="009D3293" w:rsidP="00FA5DD0">
      <w:pPr>
        <w:spacing w:after="0" w:line="240" w:lineRule="auto"/>
      </w:pPr>
      <w:r>
        <w:t>Docket: 24-2438</w:t>
      </w:r>
    </w:p>
    <w:p w14:paraId="7107F2DB" w14:textId="7D5898D0" w:rsidR="009D3293" w:rsidRDefault="009D3293" w:rsidP="00FA5DD0">
      <w:pPr>
        <w:spacing w:after="0" w:line="240" w:lineRule="auto"/>
      </w:pPr>
      <w:r>
        <w:t>October 8, 2025</w:t>
      </w:r>
    </w:p>
    <w:p w14:paraId="58FCC055" w14:textId="77777777" w:rsidR="009D3293" w:rsidRDefault="009D3293" w:rsidP="00FA5DD0">
      <w:pPr>
        <w:spacing w:after="0" w:line="240" w:lineRule="auto"/>
      </w:pPr>
    </w:p>
    <w:p w14:paraId="34B55AEE" w14:textId="2D097BA3" w:rsidR="009D3293" w:rsidRPr="003F05E9" w:rsidRDefault="003F05E9" w:rsidP="00FA5DD0">
      <w:pPr>
        <w:spacing w:after="0" w:line="240" w:lineRule="auto"/>
        <w:rPr>
          <w:i/>
          <w:iCs/>
        </w:rPr>
      </w:pPr>
      <w:r w:rsidRPr="003F05E9">
        <w:rPr>
          <w:i/>
          <w:iCs/>
        </w:rPr>
        <w:lastRenderedPageBreak/>
        <w:t>Summary: The automobile exception justified the search of the truck, and the Leon Good Faith exception to the exclusionary rule applied to the warrant-based search of the house.</w:t>
      </w:r>
      <w:r>
        <w:rPr>
          <w:i/>
          <w:iCs/>
        </w:rPr>
        <w:t xml:space="preserve"> (1-15, 5-13)</w:t>
      </w:r>
    </w:p>
    <w:p w14:paraId="2C6E1F39" w14:textId="77777777" w:rsidR="009D3293" w:rsidRDefault="009D3293" w:rsidP="00FA5DD0">
      <w:pPr>
        <w:spacing w:after="0" w:line="240" w:lineRule="auto"/>
      </w:pPr>
    </w:p>
    <w:p w14:paraId="17B0A17B" w14:textId="62347658" w:rsidR="009D3293" w:rsidRDefault="009D3293" w:rsidP="00FA5DD0">
      <w:pPr>
        <w:spacing w:after="0" w:line="240" w:lineRule="auto"/>
      </w:pPr>
      <w:r>
        <w:t xml:space="preserve">Edwin Diaz was stopped by law enforcement in Ida Grove, Iowa, after Deputy Clausen observed his truck parked with only one working headlight, broken taillights, and impeding traffic. Upon approaching the vehicle, Clausen smelled marijuana and saw Diaz drop an item </w:t>
      </w:r>
      <w:r w:rsidR="003F05E9">
        <w:t xml:space="preserve">that was </w:t>
      </w:r>
      <w:r>
        <w:t xml:space="preserve">later identified as methamphetamine. </w:t>
      </w:r>
      <w:r w:rsidR="003F05E9">
        <w:t xml:space="preserve">Both </w:t>
      </w:r>
      <w:r>
        <w:t xml:space="preserve">Diaz and his passenger, Mikaela Breen, were arrested and charged with drug offenses. Days </w:t>
      </w:r>
      <w:r w:rsidR="003F05E9">
        <w:t>after the arrest</w:t>
      </w:r>
      <w:r>
        <w:t>, Breen reported to police that Diaz had coerced her into signing a statement taking responsibility for the drugs found in the truck. Based on Breen’s account and Diaz’s criminal history, law enforcement obtained a warrant to search Diaz’s residence, where they found drugs, paraphernalia, and a firearm.</w:t>
      </w:r>
    </w:p>
    <w:p w14:paraId="6E2FA201" w14:textId="77777777" w:rsidR="009D3293" w:rsidRDefault="009D3293" w:rsidP="00FA5DD0">
      <w:pPr>
        <w:spacing w:after="0" w:line="240" w:lineRule="auto"/>
      </w:pPr>
    </w:p>
    <w:p w14:paraId="3466F4A7" w14:textId="430C73CA" w:rsidR="009D3293" w:rsidRDefault="003F05E9" w:rsidP="00FA5DD0">
      <w:pPr>
        <w:spacing w:after="0" w:line="240" w:lineRule="auto"/>
      </w:pPr>
      <w:r>
        <w:t xml:space="preserve">At trial, Diaz sought to suppress the </w:t>
      </w:r>
      <w:r w:rsidRPr="003F05E9">
        <w:t xml:space="preserve">evidence from the </w:t>
      </w:r>
      <w:r>
        <w:t xml:space="preserve">search of his </w:t>
      </w:r>
      <w:r w:rsidRPr="003F05E9">
        <w:t>truck and home</w:t>
      </w:r>
      <w:r>
        <w:t xml:space="preserve">. </w:t>
      </w:r>
      <w:r w:rsidR="009D3293">
        <w:t xml:space="preserve">The </w:t>
      </w:r>
      <w:r w:rsidRPr="003F05E9">
        <w:t xml:space="preserve">magistrate judge </w:t>
      </w:r>
      <w:r>
        <w:t xml:space="preserve">in the </w:t>
      </w:r>
      <w:r w:rsidR="009D3293">
        <w:t xml:space="preserve">United States District Court for the Northern District of Iowa recommended denying the motion, finding that the truck search was lawful due to probable cause from observed traffic violations and the smell of marijuana, and that the good faith exception applied to the home search despite questions about the warrant’s nexus to the residence. The district </w:t>
      </w:r>
      <w:r>
        <w:t>court a</w:t>
      </w:r>
      <w:r w:rsidR="009D3293">
        <w:t>greed that the truck search was justified by probable cause and that the good faith exception protected the home search evidence, even though the warrant affidavit did not establish a sufficient nexus between the drugs and Diaz’s home.</w:t>
      </w:r>
    </w:p>
    <w:p w14:paraId="6CC480E8" w14:textId="77777777" w:rsidR="009D3293" w:rsidRDefault="009D3293" w:rsidP="00FA5DD0">
      <w:pPr>
        <w:spacing w:after="0" w:line="240" w:lineRule="auto"/>
      </w:pPr>
    </w:p>
    <w:p w14:paraId="38F71D90" w14:textId="0095F3D0" w:rsidR="009D3293" w:rsidRDefault="009D3293" w:rsidP="00FA5DD0">
      <w:pPr>
        <w:spacing w:after="0" w:line="240" w:lineRule="auto"/>
      </w:pPr>
      <w:r>
        <w:t>On appeal, the United States Court of Appeals for the Eighth Circuit affirmed the district court’s denial of the suppression motion. The court held that the initial encounter with Diaz was supported by reasonable suspicion and probable cause due to multiple traffic violations and the odor of marijuana, justifying the truck search</w:t>
      </w:r>
      <w:r w:rsidR="003F05E9">
        <w:t xml:space="preserve"> under the automobile exception</w:t>
      </w:r>
      <w:r>
        <w:t xml:space="preserve">. </w:t>
      </w:r>
      <w:r w:rsidR="003F05E9">
        <w:t xml:space="preserve">Regarding </w:t>
      </w:r>
      <w:r>
        <w:t>the search</w:t>
      </w:r>
      <w:r w:rsidR="003F05E9">
        <w:t xml:space="preserve"> of the home</w:t>
      </w:r>
      <w:r>
        <w:t xml:space="preserve">, the court found that the </w:t>
      </w:r>
      <w:r w:rsidRPr="003F05E9">
        <w:rPr>
          <w:i/>
          <w:iCs/>
        </w:rPr>
        <w:t>Leon</w:t>
      </w:r>
      <w:r>
        <w:t xml:space="preserve"> </w:t>
      </w:r>
      <w:r w:rsidR="003F05E9">
        <w:t>good-faith</w:t>
      </w:r>
      <w:r>
        <w:t xml:space="preserve"> exception applied because it was not unreasonable for officers to believe that a drug dealer would store contraband at his residence, even if the warrant affidavit lacked a direct nexus. </w:t>
      </w:r>
    </w:p>
    <w:p w14:paraId="4E8B6657" w14:textId="77777777" w:rsidR="003F05E9" w:rsidRDefault="003F05E9" w:rsidP="00FA5DD0">
      <w:pPr>
        <w:spacing w:after="0" w:line="240" w:lineRule="auto"/>
      </w:pPr>
    </w:p>
    <w:p w14:paraId="12A3DD4D" w14:textId="00A1A938" w:rsidR="009D3293" w:rsidRDefault="009D3293" w:rsidP="00FA5DD0">
      <w:pPr>
        <w:spacing w:after="0" w:line="240" w:lineRule="auto"/>
      </w:pPr>
      <w:hyperlink r:id="rId5" w:history="1">
        <w:r w:rsidRPr="008248FD">
          <w:rPr>
            <w:rStyle w:val="Hyperlink"/>
          </w:rPr>
          <w:t>https://cases.justia.com/federal/appellate-courts/ca8/24-2438/24-2438-2025-10-08.pdf</w:t>
        </w:r>
      </w:hyperlink>
    </w:p>
    <w:p w14:paraId="3CD18403" w14:textId="77777777" w:rsidR="009D3293" w:rsidRDefault="009D3293" w:rsidP="00FA5DD0">
      <w:pPr>
        <w:spacing w:after="0" w:line="240" w:lineRule="auto"/>
      </w:pPr>
    </w:p>
    <w:p w14:paraId="372DFE5A" w14:textId="77777777" w:rsidR="00457333" w:rsidRPr="003F05E9" w:rsidRDefault="00457333" w:rsidP="00FA5DD0">
      <w:pPr>
        <w:spacing w:after="0" w:line="240" w:lineRule="auto"/>
        <w:rPr>
          <w:b/>
          <w:bCs/>
        </w:rPr>
      </w:pPr>
      <w:r w:rsidRPr="003F05E9">
        <w:rPr>
          <w:b/>
          <w:bCs/>
        </w:rPr>
        <w:t>State v. Sharpe</w:t>
      </w:r>
    </w:p>
    <w:p w14:paraId="24447A86" w14:textId="72D7CDBC" w:rsidR="00457333" w:rsidRDefault="00457333" w:rsidP="00FA5DD0">
      <w:pPr>
        <w:spacing w:after="0" w:line="240" w:lineRule="auto"/>
      </w:pPr>
      <w:r>
        <w:t>Connecticut Supreme Court</w:t>
      </w:r>
    </w:p>
    <w:p w14:paraId="087BF209" w14:textId="33803493" w:rsidR="00457333" w:rsidRDefault="00457333" w:rsidP="00FA5DD0">
      <w:pPr>
        <w:spacing w:after="0" w:line="240" w:lineRule="auto"/>
      </w:pPr>
      <w:r>
        <w:t>October 7, 2025</w:t>
      </w:r>
    </w:p>
    <w:p w14:paraId="1600F3C0" w14:textId="77777777" w:rsidR="00457333" w:rsidRDefault="00457333" w:rsidP="00FA5DD0">
      <w:pPr>
        <w:spacing w:after="0" w:line="240" w:lineRule="auto"/>
      </w:pPr>
    </w:p>
    <w:p w14:paraId="5477BD38" w14:textId="27D95F33" w:rsidR="00457333" w:rsidRPr="00C142F7" w:rsidRDefault="003F05E9" w:rsidP="00FA5DD0">
      <w:pPr>
        <w:spacing w:after="0" w:line="240" w:lineRule="auto"/>
        <w:rPr>
          <w:i/>
          <w:iCs/>
        </w:rPr>
      </w:pPr>
      <w:r w:rsidRPr="00C142F7">
        <w:rPr>
          <w:i/>
          <w:iCs/>
        </w:rPr>
        <w:t xml:space="preserve">Summary: </w:t>
      </w:r>
      <w:r w:rsidR="00C142F7" w:rsidRPr="00C142F7">
        <w:rPr>
          <w:i/>
          <w:iCs/>
        </w:rPr>
        <w:t>Subjective expectation of privacy in DNA on a discarded belt was not objectively reasonable.</w:t>
      </w:r>
      <w:r w:rsidR="00C142F7">
        <w:rPr>
          <w:i/>
          <w:iCs/>
        </w:rPr>
        <w:t xml:space="preserve"> (2-2, 2-3)</w:t>
      </w:r>
    </w:p>
    <w:p w14:paraId="10A2F2E0" w14:textId="77777777" w:rsidR="00457333" w:rsidRDefault="00457333" w:rsidP="00FA5DD0">
      <w:pPr>
        <w:spacing w:after="0" w:line="240" w:lineRule="auto"/>
      </w:pPr>
    </w:p>
    <w:p w14:paraId="564C3392" w14:textId="237ECF90" w:rsidR="00457333" w:rsidRDefault="00457333" w:rsidP="00FA5DD0">
      <w:pPr>
        <w:spacing w:after="0" w:line="240" w:lineRule="auto"/>
      </w:pPr>
      <w:r>
        <w:t xml:space="preserve">In 1984, four women in Connecticut were robbed and sexually assaulted in their homes by an unknown assailant. The perpetrator blindfolded, restrained, and threatened each victim, then stole items before leaving. Police collected physical evidence from the crime scenes, </w:t>
      </w:r>
      <w:r>
        <w:lastRenderedPageBreak/>
        <w:t>but DNA testing was not available at the time. Years later, advances in forensic science allowed the state laboratory to develop DNA profiles from the evidence, which were uploaded to the Combined DNA Index System (CODIS). In 2020, a private forensic company provided investigative leads</w:t>
      </w:r>
      <w:r w:rsidR="00C142F7">
        <w:t xml:space="preserve"> that </w:t>
      </w:r>
      <w:r>
        <w:t>implicat</w:t>
      </w:r>
      <w:r w:rsidR="00C142F7">
        <w:t>ed</w:t>
      </w:r>
      <w:r>
        <w:t xml:space="preserve"> the defendant</w:t>
      </w:r>
      <w:r w:rsidR="00C142F7">
        <w:t xml:space="preserve"> in this criminal case</w:t>
      </w:r>
      <w:r>
        <w:t>. Police collected trash</w:t>
      </w:r>
      <w:r w:rsidR="00C142F7">
        <w:t xml:space="preserve"> (including a belt) </w:t>
      </w:r>
      <w:r>
        <w:t>from the defendant’s residence</w:t>
      </w:r>
      <w:r w:rsidR="00C142F7">
        <w:t xml:space="preserve"> without a warrant</w:t>
      </w:r>
      <w:r>
        <w:t xml:space="preserve"> and submitted it for DNA analysis. The DNA extracted from the belt matched the crime scene profiles. </w:t>
      </w:r>
      <w:r w:rsidR="00C142F7">
        <w:t xml:space="preserve">Based on this evidence, the </w:t>
      </w:r>
      <w:r>
        <w:t>Police obtained a warrant for a DNA sample</w:t>
      </w:r>
      <w:r w:rsidR="00C142F7">
        <w:t xml:space="preserve"> from the defendant</w:t>
      </w:r>
      <w:r>
        <w:t xml:space="preserve">, which further implicated </w:t>
      </w:r>
      <w:r w:rsidR="00C142F7">
        <w:t>him</w:t>
      </w:r>
      <w:r>
        <w:t>.</w:t>
      </w:r>
    </w:p>
    <w:p w14:paraId="44634AB8" w14:textId="77777777" w:rsidR="00457333" w:rsidRDefault="00457333" w:rsidP="00FA5DD0">
      <w:pPr>
        <w:spacing w:after="0" w:line="240" w:lineRule="auto"/>
      </w:pPr>
    </w:p>
    <w:p w14:paraId="30365727" w14:textId="708CA10D" w:rsidR="00457333" w:rsidRDefault="00C142F7" w:rsidP="00FA5DD0">
      <w:pPr>
        <w:spacing w:after="0" w:line="240" w:lineRule="auto"/>
      </w:pPr>
      <w:r>
        <w:t>Based on this evidence, t</w:t>
      </w:r>
      <w:r w:rsidR="00457333">
        <w:t>he defendant was charged in the Superior Court for the judicial district of Hartford with eight counts of kidnapping in the first degree. At trial,</w:t>
      </w:r>
      <w:r>
        <w:t xml:space="preserve"> t</w:t>
      </w:r>
      <w:r w:rsidR="00457333">
        <w:t>he jury found the defendant guilty on all counts, and he was sentenced to seventy-two years in prison.</w:t>
      </w:r>
    </w:p>
    <w:p w14:paraId="2FBA32A2" w14:textId="77777777" w:rsidR="00457333" w:rsidRDefault="00457333" w:rsidP="00FA5DD0">
      <w:pPr>
        <w:spacing w:after="0" w:line="240" w:lineRule="auto"/>
      </w:pPr>
    </w:p>
    <w:p w14:paraId="4128E390" w14:textId="6E489B1A" w:rsidR="009D3293" w:rsidRDefault="00457333" w:rsidP="00FA5DD0">
      <w:pPr>
        <w:spacing w:after="0" w:line="240" w:lineRule="auto"/>
      </w:pPr>
      <w:r>
        <w:t>On appeal to the Connecticut Supreme Court, the defendant argued that the warrantless collection and analysis of his DNA from the discarded belt violated his rights under the Fourth Amendment and the Connecticut Constitution</w:t>
      </w:r>
      <w:r w:rsidR="00C142F7">
        <w:t xml:space="preserve">. </w:t>
      </w:r>
      <w:r>
        <w:t>The Connecticut Supreme Court held that neither the collection nor the analysis of DNA from the discarded belt constituted a search under the Fourth Amendment or the state constitution</w:t>
      </w:r>
      <w:r w:rsidR="00C142F7">
        <w:t>. The court stated that even if the defendant had a subjective expectation of privacy in his DNA on the belt, it was not an objectively reasonable expectation.</w:t>
      </w:r>
    </w:p>
    <w:p w14:paraId="1C319487" w14:textId="77777777" w:rsidR="00C142F7" w:rsidRDefault="00C142F7" w:rsidP="00FA5DD0">
      <w:pPr>
        <w:spacing w:after="0" w:line="240" w:lineRule="auto"/>
      </w:pPr>
    </w:p>
    <w:p w14:paraId="288456AE" w14:textId="68EDB5D7" w:rsidR="00457333" w:rsidRDefault="00457333" w:rsidP="00FA5DD0">
      <w:pPr>
        <w:spacing w:after="0" w:line="240" w:lineRule="auto"/>
      </w:pPr>
      <w:hyperlink r:id="rId6" w:history="1">
        <w:r w:rsidRPr="008248FD">
          <w:rPr>
            <w:rStyle w:val="Hyperlink"/>
          </w:rPr>
          <w:t>https://cases.justia.com/connecticut/supreme-court/2025-sc20815.pdf</w:t>
        </w:r>
      </w:hyperlink>
    </w:p>
    <w:p w14:paraId="4080D972" w14:textId="77777777" w:rsidR="00457333" w:rsidRDefault="00457333" w:rsidP="00FA5DD0">
      <w:pPr>
        <w:spacing w:after="0" w:line="240" w:lineRule="auto"/>
      </w:pPr>
    </w:p>
    <w:p w14:paraId="1117F713" w14:textId="77777777" w:rsidR="00457333" w:rsidRDefault="00457333" w:rsidP="00FA5DD0">
      <w:pPr>
        <w:spacing w:after="0" w:line="240" w:lineRule="auto"/>
      </w:pPr>
    </w:p>
    <w:p w14:paraId="717409E9" w14:textId="77777777" w:rsidR="00E32531" w:rsidRPr="00C142F7" w:rsidRDefault="00E32531" w:rsidP="00FA5DD0">
      <w:pPr>
        <w:spacing w:after="0" w:line="240" w:lineRule="auto"/>
        <w:rPr>
          <w:b/>
          <w:bCs/>
        </w:rPr>
      </w:pPr>
      <w:r w:rsidRPr="00C142F7">
        <w:rPr>
          <w:b/>
          <w:bCs/>
        </w:rPr>
        <w:t>State v. Washington</w:t>
      </w:r>
    </w:p>
    <w:p w14:paraId="0BE6A29E" w14:textId="74B9992C" w:rsidR="00E32531" w:rsidRDefault="00E32531" w:rsidP="00FA5DD0">
      <w:pPr>
        <w:spacing w:after="0" w:line="240" w:lineRule="auto"/>
      </w:pPr>
      <w:r>
        <w:t>Tennessee Supreme Court</w:t>
      </w:r>
    </w:p>
    <w:p w14:paraId="727BDAB1" w14:textId="40412C64" w:rsidR="00E32531" w:rsidRDefault="00E32531" w:rsidP="00FA5DD0">
      <w:pPr>
        <w:spacing w:after="0" w:line="240" w:lineRule="auto"/>
      </w:pPr>
      <w:r>
        <w:t>October 8, 2025</w:t>
      </w:r>
    </w:p>
    <w:p w14:paraId="1481AC71" w14:textId="77777777" w:rsidR="00E32531" w:rsidRDefault="00E32531" w:rsidP="00FA5DD0">
      <w:pPr>
        <w:spacing w:after="0" w:line="240" w:lineRule="auto"/>
      </w:pPr>
    </w:p>
    <w:p w14:paraId="7CBC0141" w14:textId="4ECD2845" w:rsidR="00E32531" w:rsidRPr="00604D05" w:rsidRDefault="00D4131A" w:rsidP="00FA5DD0">
      <w:pPr>
        <w:spacing w:after="0" w:line="240" w:lineRule="auto"/>
        <w:rPr>
          <w:i/>
          <w:iCs/>
        </w:rPr>
      </w:pPr>
      <w:r w:rsidRPr="00604D05">
        <w:rPr>
          <w:i/>
          <w:iCs/>
        </w:rPr>
        <w:t xml:space="preserve">Summary: </w:t>
      </w:r>
      <w:r w:rsidR="00604D05" w:rsidRPr="00604D05">
        <w:rPr>
          <w:i/>
          <w:iCs/>
        </w:rPr>
        <w:t>Warrantless seizure of a firearm from a vehicle was lawful under the plain view seizure doctrine, even though the probable cause was based on a statement made without a Miranda warning.</w:t>
      </w:r>
      <w:r w:rsidR="00604D05">
        <w:rPr>
          <w:i/>
          <w:iCs/>
        </w:rPr>
        <w:t xml:space="preserve"> </w:t>
      </w:r>
      <w:r w:rsidR="009731C7">
        <w:rPr>
          <w:i/>
          <w:iCs/>
        </w:rPr>
        <w:t>7-12, 6-1, 6-4</w:t>
      </w:r>
    </w:p>
    <w:p w14:paraId="53890503" w14:textId="77777777" w:rsidR="00E32531" w:rsidRDefault="00E32531" w:rsidP="00FA5DD0">
      <w:pPr>
        <w:spacing w:after="0" w:line="240" w:lineRule="auto"/>
      </w:pPr>
    </w:p>
    <w:p w14:paraId="788E443E" w14:textId="6889F8B2" w:rsidR="00604D05" w:rsidRDefault="00604D05" w:rsidP="00604D05">
      <w:pPr>
        <w:spacing w:after="0" w:line="240" w:lineRule="auto"/>
      </w:pPr>
      <w:r>
        <w:t>At approximately 0320 on November 6, 2020, the Jackson Police</w:t>
      </w:r>
      <w:r w:rsidR="00E32531">
        <w:t xml:space="preserve"> </w:t>
      </w:r>
      <w:r>
        <w:t xml:space="preserve">Department </w:t>
      </w:r>
      <w:r w:rsidR="00E32531">
        <w:t>responded to a report of a car accident in a residential area</w:t>
      </w:r>
      <w:r>
        <w:t xml:space="preserve">. </w:t>
      </w:r>
      <w:r>
        <w:t>Officer Keller arrived at the scene and found a vehicle situated partially in the front yard</w:t>
      </w:r>
      <w:r>
        <w:t xml:space="preserve"> </w:t>
      </w:r>
      <w:r>
        <w:t>of a residence, facing the wrong side of the road. When Officer Keller approached the</w:t>
      </w:r>
      <w:r>
        <w:t xml:space="preserve"> </w:t>
      </w:r>
      <w:r w:rsidR="009731C7">
        <w:t>car</w:t>
      </w:r>
      <w:r>
        <w:t xml:space="preserve">, he found </w:t>
      </w:r>
      <w:r>
        <w:t>Ambreia Washington</w:t>
      </w:r>
      <w:r>
        <w:t xml:space="preserve"> in the driver’s seat and subsequently observed a handgun</w:t>
      </w:r>
      <w:r>
        <w:t xml:space="preserve"> </w:t>
      </w:r>
      <w:r>
        <w:t xml:space="preserve">lying on the front passenger seat. Officer Keller initially asked </w:t>
      </w:r>
      <w:r>
        <w:t>Washington</w:t>
      </w:r>
      <w:r>
        <w:t xml:space="preserve"> to remain in</w:t>
      </w:r>
      <w:r>
        <w:t xml:space="preserve"> </w:t>
      </w:r>
      <w:r>
        <w:t xml:space="preserve">his vehicle, but once the officer spotted the handgun, he instructed </w:t>
      </w:r>
      <w:r>
        <w:t>Washington</w:t>
      </w:r>
      <w:r>
        <w:t xml:space="preserve"> to exit</w:t>
      </w:r>
      <w:r>
        <w:t xml:space="preserve"> </w:t>
      </w:r>
      <w:r>
        <w:t xml:space="preserve">the vehicle. As </w:t>
      </w:r>
      <w:r>
        <w:t>Washington</w:t>
      </w:r>
      <w:r>
        <w:t xml:space="preserve"> was stepping out of the car, Officer Keller asked if he was a</w:t>
      </w:r>
      <w:r>
        <w:t xml:space="preserve"> </w:t>
      </w:r>
      <w:r>
        <w:t>convicted felon.</w:t>
      </w:r>
      <w:r>
        <w:t xml:space="preserve"> Washington r</w:t>
      </w:r>
      <w:r>
        <w:t>esponded in the affirmative. At that point, Officer Keller</w:t>
      </w:r>
      <w:r>
        <w:t xml:space="preserve"> </w:t>
      </w:r>
      <w:r>
        <w:t xml:space="preserve">began to handcuff </w:t>
      </w:r>
      <w:r>
        <w:t>Washington</w:t>
      </w:r>
      <w:r>
        <w:t xml:space="preserve">, but </w:t>
      </w:r>
      <w:r>
        <w:t>Washington</w:t>
      </w:r>
      <w:r>
        <w:t xml:space="preserve"> attempted to flee toward the</w:t>
      </w:r>
      <w:r>
        <w:t xml:space="preserve"> </w:t>
      </w:r>
      <w:r>
        <w:t xml:space="preserve">passenger’s side of the vehicle. Officer Keller then tased </w:t>
      </w:r>
      <w:r>
        <w:t>Washington</w:t>
      </w:r>
      <w:r>
        <w:t>, placed him into</w:t>
      </w:r>
      <w:r>
        <w:t xml:space="preserve"> </w:t>
      </w:r>
      <w:r>
        <w:t>custody, and seized the handgun.</w:t>
      </w:r>
      <w:r>
        <w:cr/>
      </w:r>
    </w:p>
    <w:p w14:paraId="0825C3D9" w14:textId="77777777" w:rsidR="00604D05" w:rsidRDefault="00E32531" w:rsidP="00FA5DD0">
      <w:pPr>
        <w:spacing w:after="0" w:line="240" w:lineRule="auto"/>
      </w:pPr>
      <w:r>
        <w:lastRenderedPageBreak/>
        <w:t>Washington was indicted for unlawful possession of a firearm by a convicted felon and other charges.</w:t>
      </w:r>
      <w:r w:rsidR="00604D05">
        <w:t xml:space="preserve"> He</w:t>
      </w:r>
      <w:r>
        <w:t xml:space="preserve"> moved to suppress both the handgun and his statement regarding his felony status. The Circuit Court for Madison County suppressed the statement due to a Miranda violation</w:t>
      </w:r>
      <w:r w:rsidR="00604D05">
        <w:t>,</w:t>
      </w:r>
      <w:r>
        <w:t xml:space="preserve"> but denied the motion to suppress the handgun, finding it was properly seized under the plain view </w:t>
      </w:r>
      <w:r w:rsidR="00604D05">
        <w:t xml:space="preserve">seizure </w:t>
      </w:r>
      <w:r>
        <w:t xml:space="preserve">doctrine. At trial, Washington was convicted by a jury. </w:t>
      </w:r>
    </w:p>
    <w:p w14:paraId="7658E583" w14:textId="77777777" w:rsidR="00604D05" w:rsidRDefault="00604D05" w:rsidP="00FA5DD0">
      <w:pPr>
        <w:spacing w:after="0" w:line="240" w:lineRule="auto"/>
      </w:pPr>
    </w:p>
    <w:p w14:paraId="3B51DEAE" w14:textId="2BD71BF9" w:rsidR="00E32531" w:rsidRDefault="00E32531" w:rsidP="00FA5DD0">
      <w:pPr>
        <w:spacing w:after="0" w:line="240" w:lineRule="auto"/>
      </w:pPr>
      <w:r>
        <w:t>On appeal, the Tennessee Court of Criminal Appeals affirmed the trial court’s rulings, concluding that the officer’s actions were justified under the community caretaking doctrine and that the seizure of the handgun was permissible under the plain view doctrine.</w:t>
      </w:r>
    </w:p>
    <w:p w14:paraId="4ED879F3" w14:textId="77777777" w:rsidR="00E32531" w:rsidRDefault="00E32531" w:rsidP="00FA5DD0">
      <w:pPr>
        <w:spacing w:after="0" w:line="240" w:lineRule="auto"/>
      </w:pPr>
    </w:p>
    <w:p w14:paraId="2724E9D9" w14:textId="25D7FF1E" w:rsidR="00457333" w:rsidRDefault="00E32531" w:rsidP="00FA5DD0">
      <w:pPr>
        <w:spacing w:after="0" w:line="240" w:lineRule="auto"/>
      </w:pPr>
      <w:r>
        <w:t xml:space="preserve">The Supreme Court of Tennessee reviewed whether the officer’s warrantless seizure of the firearm was lawful. The court held that the seizure was constitutionally permissible under the plain view </w:t>
      </w:r>
      <w:r w:rsidR="00604D05">
        <w:t xml:space="preserve">seizure </w:t>
      </w:r>
      <w:r>
        <w:t>doctrine, even though the officer’s probable cause to seize the gun was based on Washington’s unwarned but voluntary admission of his felony status. The court clarified that such nontestimonial evidence derived from a voluntary but un-Mirandized statement need not be suppressed absent coercion. The judgment of the Court of Criminal Appeals was affirmed.</w:t>
      </w:r>
    </w:p>
    <w:p w14:paraId="7E9CE62E" w14:textId="77777777" w:rsidR="00D4131A" w:rsidRDefault="00D4131A" w:rsidP="00FA5DD0">
      <w:pPr>
        <w:spacing w:after="0" w:line="240" w:lineRule="auto"/>
      </w:pPr>
    </w:p>
    <w:p w14:paraId="49E7388D" w14:textId="41282D81" w:rsidR="00457333" w:rsidRDefault="00E32531" w:rsidP="00FA5DD0">
      <w:pPr>
        <w:spacing w:after="0" w:line="240" w:lineRule="auto"/>
      </w:pPr>
      <w:hyperlink r:id="rId7" w:history="1">
        <w:r w:rsidRPr="008248FD">
          <w:rPr>
            <w:rStyle w:val="Hyperlink"/>
          </w:rPr>
          <w:t>https://cases.justia.com/tennessee/supr</w:t>
        </w:r>
        <w:r w:rsidRPr="008248FD">
          <w:rPr>
            <w:rStyle w:val="Hyperlink"/>
          </w:rPr>
          <w:t>e</w:t>
        </w:r>
        <w:r w:rsidRPr="008248FD">
          <w:rPr>
            <w:rStyle w:val="Hyperlink"/>
          </w:rPr>
          <w:t>me-court/2025-w2022-01201-sc-r11-cd.pdf</w:t>
        </w:r>
      </w:hyperlink>
    </w:p>
    <w:p w14:paraId="19FC6348" w14:textId="77777777" w:rsidR="00E32531" w:rsidRDefault="00E32531" w:rsidP="00FA5DD0">
      <w:pPr>
        <w:spacing w:after="0" w:line="240" w:lineRule="auto"/>
      </w:pPr>
    </w:p>
    <w:p w14:paraId="301280AA" w14:textId="77777777" w:rsidR="00E32531" w:rsidRDefault="00E32531" w:rsidP="00FA5DD0">
      <w:pPr>
        <w:spacing w:after="0" w:line="240" w:lineRule="auto"/>
      </w:pPr>
    </w:p>
    <w:sectPr w:rsidR="00E32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420"/>
    <w:rsid w:val="000B7420"/>
    <w:rsid w:val="0027406F"/>
    <w:rsid w:val="003F05E9"/>
    <w:rsid w:val="00457333"/>
    <w:rsid w:val="004E3816"/>
    <w:rsid w:val="00570746"/>
    <w:rsid w:val="00604D05"/>
    <w:rsid w:val="00771371"/>
    <w:rsid w:val="009731C7"/>
    <w:rsid w:val="009D3293"/>
    <w:rsid w:val="00C142F7"/>
    <w:rsid w:val="00D4131A"/>
    <w:rsid w:val="00D41EC4"/>
    <w:rsid w:val="00E32531"/>
    <w:rsid w:val="00FA5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31136"/>
  <w15:chartTrackingRefBased/>
  <w15:docId w15:val="{D6E08ECA-3FD9-4C33-A085-642C40811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420"/>
    <w:rPr>
      <w:rFonts w:eastAsiaTheme="majorEastAsia" w:cstheme="majorBidi"/>
      <w:color w:val="272727" w:themeColor="text1" w:themeTint="D8"/>
    </w:rPr>
  </w:style>
  <w:style w:type="paragraph" w:styleId="Title">
    <w:name w:val="Title"/>
    <w:basedOn w:val="Normal"/>
    <w:next w:val="Normal"/>
    <w:link w:val="TitleChar"/>
    <w:uiPriority w:val="10"/>
    <w:qFormat/>
    <w:rsid w:val="000B7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420"/>
    <w:pPr>
      <w:spacing w:before="160"/>
      <w:jc w:val="center"/>
    </w:pPr>
    <w:rPr>
      <w:i/>
      <w:iCs/>
      <w:color w:val="404040" w:themeColor="text1" w:themeTint="BF"/>
    </w:rPr>
  </w:style>
  <w:style w:type="character" w:customStyle="1" w:styleId="QuoteChar">
    <w:name w:val="Quote Char"/>
    <w:basedOn w:val="DefaultParagraphFont"/>
    <w:link w:val="Quote"/>
    <w:uiPriority w:val="29"/>
    <w:rsid w:val="000B7420"/>
    <w:rPr>
      <w:i/>
      <w:iCs/>
      <w:color w:val="404040" w:themeColor="text1" w:themeTint="BF"/>
    </w:rPr>
  </w:style>
  <w:style w:type="paragraph" w:styleId="ListParagraph">
    <w:name w:val="List Paragraph"/>
    <w:basedOn w:val="Normal"/>
    <w:uiPriority w:val="34"/>
    <w:qFormat/>
    <w:rsid w:val="000B7420"/>
    <w:pPr>
      <w:ind w:left="720"/>
      <w:contextualSpacing/>
    </w:pPr>
  </w:style>
  <w:style w:type="character" w:styleId="IntenseEmphasis">
    <w:name w:val="Intense Emphasis"/>
    <w:basedOn w:val="DefaultParagraphFont"/>
    <w:uiPriority w:val="21"/>
    <w:qFormat/>
    <w:rsid w:val="000B7420"/>
    <w:rPr>
      <w:i/>
      <w:iCs/>
      <w:color w:val="0F4761" w:themeColor="accent1" w:themeShade="BF"/>
    </w:rPr>
  </w:style>
  <w:style w:type="paragraph" w:styleId="IntenseQuote">
    <w:name w:val="Intense Quote"/>
    <w:basedOn w:val="Normal"/>
    <w:next w:val="Normal"/>
    <w:link w:val="IntenseQuoteChar"/>
    <w:uiPriority w:val="30"/>
    <w:qFormat/>
    <w:rsid w:val="000B7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420"/>
    <w:rPr>
      <w:i/>
      <w:iCs/>
      <w:color w:val="0F4761" w:themeColor="accent1" w:themeShade="BF"/>
    </w:rPr>
  </w:style>
  <w:style w:type="character" w:styleId="IntenseReference">
    <w:name w:val="Intense Reference"/>
    <w:basedOn w:val="DefaultParagraphFont"/>
    <w:uiPriority w:val="32"/>
    <w:qFormat/>
    <w:rsid w:val="000B7420"/>
    <w:rPr>
      <w:b/>
      <w:bCs/>
      <w:smallCaps/>
      <w:color w:val="0F4761" w:themeColor="accent1" w:themeShade="BF"/>
      <w:spacing w:val="5"/>
    </w:rPr>
  </w:style>
  <w:style w:type="character" w:styleId="Hyperlink">
    <w:name w:val="Hyperlink"/>
    <w:basedOn w:val="DefaultParagraphFont"/>
    <w:uiPriority w:val="99"/>
    <w:unhideWhenUsed/>
    <w:rsid w:val="009D3293"/>
    <w:rPr>
      <w:color w:val="467886" w:themeColor="hyperlink"/>
      <w:u w:val="single"/>
    </w:rPr>
  </w:style>
  <w:style w:type="character" w:styleId="UnresolvedMention">
    <w:name w:val="Unresolved Mention"/>
    <w:basedOn w:val="DefaultParagraphFont"/>
    <w:uiPriority w:val="99"/>
    <w:semiHidden/>
    <w:unhideWhenUsed/>
    <w:rsid w:val="009D3293"/>
    <w:rPr>
      <w:color w:val="605E5C"/>
      <w:shd w:val="clear" w:color="auto" w:fill="E1DFDD"/>
    </w:rPr>
  </w:style>
  <w:style w:type="character" w:styleId="FollowedHyperlink">
    <w:name w:val="FollowedHyperlink"/>
    <w:basedOn w:val="DefaultParagraphFont"/>
    <w:uiPriority w:val="99"/>
    <w:semiHidden/>
    <w:unhideWhenUsed/>
    <w:rsid w:val="00604D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ases.justia.com/tennessee/supreme-court/2025-w2022-01201-sc-r11-cd.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connecticut/supreme-court/2025-sc20815.pdf" TargetMode="External"/><Relationship Id="rId5" Type="http://schemas.openxmlformats.org/officeDocument/2006/relationships/hyperlink" Target="https://cases.justia.com/federal/appellate-courts/ca8/24-2438/24-2438-2025-10-08.pdf" TargetMode="External"/><Relationship Id="rId4" Type="http://schemas.openxmlformats.org/officeDocument/2006/relationships/hyperlink" Target="https://cases.justia.com/federal/appellate-courts/ca7/24-3051/24-3051-2025-10-07.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1479</Words>
  <Characters>8151</Characters>
  <Application>Microsoft Office Word</Application>
  <DocSecurity>0</DocSecurity>
  <Lines>163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Bruce Barnard</cp:lastModifiedBy>
  <cp:revision>3</cp:revision>
  <dcterms:created xsi:type="dcterms:W3CDTF">2025-10-10T13:29:00Z</dcterms:created>
  <dcterms:modified xsi:type="dcterms:W3CDTF">2025-10-11T13:06:00Z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bb03b09f-1f30-4546-92bb-604097bce85c</vt:lpwstr>
  </property>
</Properties>
</file>