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3506" w14:textId="34089571" w:rsidR="005D0F50" w:rsidRDefault="00CB5BDA" w:rsidP="00D813EC">
      <w:pPr>
        <w:spacing w:after="0" w:line="240" w:lineRule="auto"/>
      </w:pPr>
      <w:r>
        <w:t>BF42 17OCT2025</w:t>
      </w:r>
    </w:p>
    <w:p w14:paraId="76F0DF73" w14:textId="77777777" w:rsidR="00D813EC" w:rsidRDefault="00D813EC" w:rsidP="00D813EC">
      <w:pPr>
        <w:spacing w:after="0" w:line="240" w:lineRule="auto"/>
      </w:pPr>
    </w:p>
    <w:p w14:paraId="433FEC60" w14:textId="7FB25196" w:rsidR="00D813EC" w:rsidRPr="00D813EC" w:rsidRDefault="00D813EC" w:rsidP="00D813EC">
      <w:pPr>
        <w:spacing w:after="0" w:line="240" w:lineRule="auto"/>
        <w:rPr>
          <w:b/>
          <w:bCs/>
        </w:rPr>
      </w:pPr>
      <w:r w:rsidRPr="00D813EC">
        <w:rPr>
          <w:b/>
          <w:bCs/>
        </w:rPr>
        <w:t>Swart v. Miyares</w:t>
      </w:r>
    </w:p>
    <w:p w14:paraId="0F75CC45" w14:textId="0C4CC634" w:rsidR="00D813EC" w:rsidRDefault="00D813EC" w:rsidP="00D813EC">
      <w:pPr>
        <w:spacing w:after="0" w:line="240" w:lineRule="auto"/>
      </w:pPr>
      <w:r>
        <w:t>U.S. Court of Appeals for the Fourth Circuit</w:t>
      </w:r>
    </w:p>
    <w:p w14:paraId="2F237C81" w14:textId="0DDED569" w:rsidR="00D813EC" w:rsidRDefault="00D813EC" w:rsidP="00D813EC">
      <w:pPr>
        <w:spacing w:after="0" w:line="240" w:lineRule="auto"/>
      </w:pPr>
      <w:r>
        <w:t>24-1117</w:t>
      </w:r>
    </w:p>
    <w:p w14:paraId="723AE96B" w14:textId="694D252C" w:rsidR="00D813EC" w:rsidRDefault="00D813EC" w:rsidP="00D813EC">
      <w:pPr>
        <w:spacing w:after="0" w:line="240" w:lineRule="auto"/>
      </w:pPr>
      <w:r>
        <w:t>October 15, 2025</w:t>
      </w:r>
    </w:p>
    <w:p w14:paraId="5919A7C7" w14:textId="77777777" w:rsidR="00D813EC" w:rsidRDefault="00D813EC" w:rsidP="00D813EC">
      <w:pPr>
        <w:spacing w:after="0" w:line="240" w:lineRule="auto"/>
      </w:pPr>
    </w:p>
    <w:p w14:paraId="5A9192D4" w14:textId="79A68CB5" w:rsidR="00D813EC" w:rsidRDefault="00D813EC" w:rsidP="00D813EC">
      <w:pPr>
        <w:spacing w:after="0" w:line="240" w:lineRule="auto"/>
        <w:rPr>
          <w:i/>
          <w:iCs/>
        </w:rPr>
      </w:pPr>
      <w:r w:rsidRPr="00D813EC">
        <w:rPr>
          <w:i/>
          <w:iCs/>
        </w:rPr>
        <w:t>Summary: No</w:t>
      </w:r>
      <w:r w:rsidR="00BD658C">
        <w:rPr>
          <w:i/>
          <w:iCs/>
        </w:rPr>
        <w:t xml:space="preserve"> liability for </w:t>
      </w:r>
      <w:r w:rsidRPr="00D813EC">
        <w:rPr>
          <w:i/>
          <w:iCs/>
        </w:rPr>
        <w:t xml:space="preserve">deliberate difference under Eighth </w:t>
      </w:r>
      <w:r w:rsidR="00BD658C">
        <w:rPr>
          <w:i/>
          <w:iCs/>
        </w:rPr>
        <w:t xml:space="preserve">and Fourteenth </w:t>
      </w:r>
      <w:r w:rsidRPr="00D813EC">
        <w:rPr>
          <w:i/>
          <w:iCs/>
        </w:rPr>
        <w:t>Amendment claim</w:t>
      </w:r>
      <w:r w:rsidR="00BD658C">
        <w:rPr>
          <w:i/>
          <w:iCs/>
        </w:rPr>
        <w:t>s</w:t>
      </w:r>
      <w:r w:rsidRPr="00D813EC">
        <w:rPr>
          <w:i/>
          <w:iCs/>
        </w:rPr>
        <w:t xml:space="preserve"> for over-incarceration.</w:t>
      </w:r>
    </w:p>
    <w:p w14:paraId="004E3243" w14:textId="20744850" w:rsidR="00BD658C" w:rsidRPr="00D813EC" w:rsidRDefault="00BD658C" w:rsidP="00D813EC">
      <w:pPr>
        <w:spacing w:after="0" w:line="240" w:lineRule="auto"/>
        <w:rPr>
          <w:i/>
          <w:iCs/>
        </w:rPr>
      </w:pPr>
      <w:r>
        <w:rPr>
          <w:i/>
          <w:iCs/>
        </w:rPr>
        <w:t>9-16</w:t>
      </w:r>
    </w:p>
    <w:p w14:paraId="1DBAB66B" w14:textId="77777777" w:rsidR="00D813EC" w:rsidRDefault="00D813EC" w:rsidP="00D813EC">
      <w:pPr>
        <w:spacing w:after="0" w:line="240" w:lineRule="auto"/>
      </w:pPr>
    </w:p>
    <w:p w14:paraId="1EF4F3D3" w14:textId="77777777" w:rsidR="00D813EC" w:rsidRDefault="00D813EC" w:rsidP="00D813EC">
      <w:pPr>
        <w:spacing w:after="0" w:line="240" w:lineRule="auto"/>
      </w:pPr>
      <w:r>
        <w:t>Two inmates in Virginia, each serving sentences for attempted aggravated murder, were initially informed by the Department of Corrections that they would be released in July 2022 due to a new state law expanding sentence credits for good behavior. This law, H.B. 5148, allowed certain inmates to earn more credits and thus reduce their incarceration time. However, after a change in the Attorney General’s office, the new Attorney General issued an advisory opinion stating that inmates convicted of inchoate offenses related to aggravated murder were not eligible for the enhanced credits. As a result, the Department reversed its earlier decision and kept the inmates incarcerated for an additional year, until the Supreme Court of Virginia later clarified that such inmates were indeed eligible for the credits and ordered their release.</w:t>
      </w:r>
    </w:p>
    <w:p w14:paraId="363AAE09" w14:textId="77777777" w:rsidR="00D813EC" w:rsidRDefault="00D813EC" w:rsidP="00D813EC">
      <w:pPr>
        <w:spacing w:after="0" w:line="240" w:lineRule="auto"/>
      </w:pPr>
    </w:p>
    <w:p w14:paraId="04335495" w14:textId="77777777" w:rsidR="00D813EC" w:rsidRDefault="00D813EC" w:rsidP="00D813EC">
      <w:pPr>
        <w:spacing w:after="0" w:line="240" w:lineRule="auto"/>
      </w:pPr>
      <w:r>
        <w:t>The inmates then filed a lawsuit in the United States District Court for the Eastern District of Virginia, seeking damages under 42 U.S.C. § 1983. They alleged that the Attorney General and the Director of Corrections violated their Eighth and Fourteenth Amendment rights by acting with deliberate indifference to their over-incarceration. The district court dismissed the complaint, finding that both officials had acted reasonably in interpreting an unsettled question of state law and that their conduct did not rise to the level of deliberate indifference or conscience-shocking behavior.</w:t>
      </w:r>
    </w:p>
    <w:p w14:paraId="40408C48" w14:textId="77777777" w:rsidR="00D813EC" w:rsidRDefault="00D813EC" w:rsidP="00D813EC">
      <w:pPr>
        <w:spacing w:after="0" w:line="240" w:lineRule="auto"/>
      </w:pPr>
    </w:p>
    <w:p w14:paraId="3AE7B317" w14:textId="1BDA6BA6" w:rsidR="00CB5BDA" w:rsidRDefault="00D813EC" w:rsidP="00D813EC">
      <w:pPr>
        <w:spacing w:after="0" w:line="240" w:lineRule="auto"/>
      </w:pPr>
      <w:r>
        <w:t>On appeal, the United States Court of Appeals for the Fourth Circuit affirmed the district court’s decision</w:t>
      </w:r>
      <w:r w:rsidR="00BD658C">
        <w:t>, holding</w:t>
      </w:r>
      <w:r>
        <w:t xml:space="preserve"> that the officials’ actions did not constitute deliberate indifference under the Eighth Amendment, nor did they shock the conscience under the Fourteenth Amendment. The court emphasized that federal courts should not hold state officials personally liable for reasonable legal interpretations of unsettled state law, especially when those interpretations are made in good faith and with conventional legal reasoning.</w:t>
      </w:r>
    </w:p>
    <w:p w14:paraId="533B5BF8" w14:textId="77777777" w:rsidR="00D813EC" w:rsidRDefault="00D813EC" w:rsidP="00D813EC">
      <w:pPr>
        <w:spacing w:after="0" w:line="240" w:lineRule="auto"/>
      </w:pPr>
    </w:p>
    <w:p w14:paraId="7D7F7F7D" w14:textId="5AFF35E0" w:rsidR="00D813EC" w:rsidRDefault="00D813EC" w:rsidP="00D813EC">
      <w:pPr>
        <w:spacing w:after="0" w:line="240" w:lineRule="auto"/>
      </w:pPr>
      <w:hyperlink r:id="rId4" w:history="1">
        <w:r w:rsidRPr="005F78D8">
          <w:rPr>
            <w:rStyle w:val="Hyperlink"/>
          </w:rPr>
          <w:t>https://cases.justia.com/federal/appellate-courts/ca4/24-1117/24-1117-2025-10-15.pdf</w:t>
        </w:r>
      </w:hyperlink>
    </w:p>
    <w:p w14:paraId="16B1BB04" w14:textId="77777777" w:rsidR="00D813EC" w:rsidRDefault="00D813EC" w:rsidP="00D813EC">
      <w:pPr>
        <w:spacing w:after="0" w:line="240" w:lineRule="auto"/>
      </w:pPr>
    </w:p>
    <w:p w14:paraId="41C5B5B8" w14:textId="77777777" w:rsidR="00D813EC" w:rsidRDefault="00D813EC">
      <w:r>
        <w:br w:type="page"/>
      </w:r>
    </w:p>
    <w:p w14:paraId="668AA8A4" w14:textId="2A05F646" w:rsidR="00D813EC" w:rsidRPr="00D813EC" w:rsidRDefault="00D813EC" w:rsidP="00D813EC">
      <w:pPr>
        <w:spacing w:after="0" w:line="240" w:lineRule="auto"/>
        <w:rPr>
          <w:b/>
          <w:bCs/>
        </w:rPr>
      </w:pPr>
      <w:r w:rsidRPr="00D813EC">
        <w:rPr>
          <w:b/>
          <w:bCs/>
        </w:rPr>
        <w:lastRenderedPageBreak/>
        <w:t>United States v. Watkins</w:t>
      </w:r>
    </w:p>
    <w:p w14:paraId="418C7BBB" w14:textId="33F6649B" w:rsidR="00D813EC" w:rsidRDefault="00D813EC" w:rsidP="00D813EC">
      <w:pPr>
        <w:spacing w:after="0" w:line="240" w:lineRule="auto"/>
      </w:pPr>
      <w:r>
        <w:t>U.S. Court of Appeals for the Tenth Circuit</w:t>
      </w:r>
    </w:p>
    <w:p w14:paraId="7AB53091" w14:textId="4877714A" w:rsidR="00D813EC" w:rsidRDefault="00D813EC" w:rsidP="00D813EC">
      <w:pPr>
        <w:spacing w:after="0" w:line="240" w:lineRule="auto"/>
      </w:pPr>
      <w:r>
        <w:t>23-6210</w:t>
      </w:r>
    </w:p>
    <w:p w14:paraId="0B658820" w14:textId="37111860" w:rsidR="00D813EC" w:rsidRDefault="00D813EC" w:rsidP="00D813EC">
      <w:pPr>
        <w:spacing w:after="0" w:line="240" w:lineRule="auto"/>
      </w:pPr>
      <w:r>
        <w:t>October 14, 2025</w:t>
      </w:r>
    </w:p>
    <w:p w14:paraId="5123F590" w14:textId="77777777" w:rsidR="00D813EC" w:rsidRDefault="00D813EC" w:rsidP="00D813EC">
      <w:pPr>
        <w:spacing w:after="0" w:line="240" w:lineRule="auto"/>
      </w:pPr>
    </w:p>
    <w:p w14:paraId="27638665" w14:textId="0801AAAC" w:rsidR="00D813EC" w:rsidRPr="00D813EC" w:rsidRDefault="00D813EC" w:rsidP="00D813EC">
      <w:pPr>
        <w:spacing w:after="0" w:line="240" w:lineRule="auto"/>
        <w:rPr>
          <w:i/>
          <w:iCs/>
        </w:rPr>
      </w:pPr>
      <w:r w:rsidRPr="00D813EC">
        <w:rPr>
          <w:i/>
          <w:iCs/>
        </w:rPr>
        <w:t>Summary: The o</w:t>
      </w:r>
      <w:r w:rsidRPr="00D813EC">
        <w:rPr>
          <w:i/>
          <w:iCs/>
        </w:rPr>
        <w:t xml:space="preserve">fficer’s </w:t>
      </w:r>
      <w:r w:rsidRPr="00D813EC">
        <w:rPr>
          <w:i/>
          <w:iCs/>
        </w:rPr>
        <w:t xml:space="preserve">unaided </w:t>
      </w:r>
      <w:r w:rsidRPr="00D813EC">
        <w:rPr>
          <w:i/>
          <w:iCs/>
        </w:rPr>
        <w:t>visual observation made from a public walkway did not constitute a search under the Fourth Amendment.</w:t>
      </w:r>
      <w:r w:rsidR="00BD658C">
        <w:rPr>
          <w:i/>
          <w:iCs/>
        </w:rPr>
        <w:t xml:space="preserve"> 2-3, 2-12</w:t>
      </w:r>
    </w:p>
    <w:p w14:paraId="30278EE2" w14:textId="77777777" w:rsidR="00D813EC" w:rsidRDefault="00D813EC" w:rsidP="00D813EC">
      <w:pPr>
        <w:spacing w:after="0" w:line="240" w:lineRule="auto"/>
      </w:pPr>
    </w:p>
    <w:p w14:paraId="78A144CC" w14:textId="77777777" w:rsidR="00D813EC" w:rsidRDefault="00D813EC" w:rsidP="00D813EC">
      <w:pPr>
        <w:spacing w:after="0" w:line="240" w:lineRule="auto"/>
      </w:pPr>
      <w:r>
        <w:t>Police officers investigating a recent carjacking and kidnapping at an Oklahoma City motel received information from the motel manager that a man matching the suspect’s description was staying in a particular room. Upon arrival, one officer looked through a one-inch gap in the window curtains from an open-air walkway outside the room and saw the defendant, Cameron Watkins, sitting on a bed next to a handgun with an extended magazine. This observation led to Watkins’s arrest and the subsequent discovery of a firearm and ammunition in the room. Watkins was later charged with being a felon in possession of a firearm and, in a superseding indictment, with being a felon in possession of ammunition found at a separate crime scene.</w:t>
      </w:r>
    </w:p>
    <w:p w14:paraId="5DD93800" w14:textId="77777777" w:rsidR="00D813EC" w:rsidRDefault="00D813EC" w:rsidP="00D813EC">
      <w:pPr>
        <w:spacing w:after="0" w:line="240" w:lineRule="auto"/>
      </w:pPr>
    </w:p>
    <w:p w14:paraId="7146356F" w14:textId="77777777" w:rsidR="00D813EC" w:rsidRDefault="00D813EC" w:rsidP="00D813EC">
      <w:pPr>
        <w:spacing w:after="0" w:line="240" w:lineRule="auto"/>
      </w:pPr>
      <w:r>
        <w:t>The United States District Court for the Western District of Oklahoma denied Watkins’s motion to suppress the evidence, finding that the officer’s observation was made from a public area—the motel’s exterior walkway—which was accessible to other guests and staff, and not part of the room’s curtilage. The court concluded there was no Fourth Amendment violation because the officer did not intrude upon a protected area or the defendant’s reasonable expectation of privacy. Watkins pleaded guilty to the firearm charge, reserving his right to appeal the suppression ruling, and was convicted by a jury on the ammunition charge.</w:t>
      </w:r>
    </w:p>
    <w:p w14:paraId="2D7CD092" w14:textId="77777777" w:rsidR="00D813EC" w:rsidRDefault="00D813EC" w:rsidP="00D813EC">
      <w:pPr>
        <w:spacing w:after="0" w:line="240" w:lineRule="auto"/>
      </w:pPr>
    </w:p>
    <w:p w14:paraId="469ED864" w14:textId="5929F0D0" w:rsidR="00D813EC" w:rsidRDefault="00BD658C" w:rsidP="00D813EC">
      <w:pPr>
        <w:spacing w:after="0" w:line="240" w:lineRule="auto"/>
      </w:pPr>
      <w:r>
        <w:t>On appeal, t</w:t>
      </w:r>
      <w:r w:rsidR="00D813EC">
        <w:t>he United States Court of Appeals for the Tenth Circuit affirmed both convictions</w:t>
      </w:r>
      <w:r>
        <w:t>, holding</w:t>
      </w:r>
      <w:r w:rsidR="00D813EC">
        <w:t xml:space="preserve"> that the officer’s visual observation through the window gap, made from a public walkway using only his unaided senses, did not constitute a search under the Fourth Amendment. The walkway was not curtilage, and the defendant did not have a reasonable expectation of privacy against such observation. The court therefore upheld the district court’s denial of the suppression motion and affirmed the convictions.</w:t>
      </w:r>
    </w:p>
    <w:p w14:paraId="140658E9" w14:textId="77777777" w:rsidR="00D813EC" w:rsidRDefault="00D813EC" w:rsidP="00D813EC">
      <w:pPr>
        <w:spacing w:after="0" w:line="240" w:lineRule="auto"/>
      </w:pPr>
    </w:p>
    <w:p w14:paraId="468809D8" w14:textId="6DAD9FE8" w:rsidR="00AB1F80" w:rsidRDefault="00AB1F80" w:rsidP="00D813EC">
      <w:pPr>
        <w:spacing w:after="0" w:line="240" w:lineRule="auto"/>
      </w:pPr>
      <w:hyperlink r:id="rId5" w:history="1">
        <w:r w:rsidRPr="005F78D8">
          <w:rPr>
            <w:rStyle w:val="Hyperlink"/>
          </w:rPr>
          <w:t>https://cases.justia.com/federal/appellate-courts/ca10/23-6210/23-6210-2025-10-14.pdf</w:t>
        </w:r>
      </w:hyperlink>
    </w:p>
    <w:p w14:paraId="269153F4" w14:textId="77777777" w:rsidR="00AB1F80" w:rsidRDefault="00AB1F80" w:rsidP="00D813EC">
      <w:pPr>
        <w:spacing w:after="0" w:line="240" w:lineRule="auto"/>
      </w:pPr>
    </w:p>
    <w:p w14:paraId="7F5D70C1" w14:textId="77777777" w:rsidR="00AB1F80" w:rsidRDefault="00AB1F80" w:rsidP="00D813EC">
      <w:pPr>
        <w:spacing w:after="0" w:line="240" w:lineRule="auto"/>
      </w:pPr>
    </w:p>
    <w:p w14:paraId="16B7E822" w14:textId="77777777" w:rsidR="000572F0" w:rsidRDefault="000572F0">
      <w:r>
        <w:br w:type="page"/>
      </w:r>
    </w:p>
    <w:p w14:paraId="77C2CE36" w14:textId="2D7904BF" w:rsidR="000572F0" w:rsidRPr="000572F0" w:rsidRDefault="000572F0" w:rsidP="000572F0">
      <w:pPr>
        <w:spacing w:after="0" w:line="240" w:lineRule="auto"/>
        <w:rPr>
          <w:b/>
          <w:bCs/>
        </w:rPr>
      </w:pPr>
      <w:r w:rsidRPr="000572F0">
        <w:rPr>
          <w:b/>
          <w:bCs/>
        </w:rPr>
        <w:lastRenderedPageBreak/>
        <w:t>Dukes v. Gregory</w:t>
      </w:r>
    </w:p>
    <w:p w14:paraId="1D74D80B" w14:textId="70119A64" w:rsidR="000572F0" w:rsidRDefault="000572F0" w:rsidP="000572F0">
      <w:pPr>
        <w:spacing w:after="0" w:line="240" w:lineRule="auto"/>
      </w:pPr>
      <w:r>
        <w:t>U.S. Court of Appeals for the Eleventh Circuit</w:t>
      </w:r>
    </w:p>
    <w:p w14:paraId="1F9DDFA7" w14:textId="07D95860" w:rsidR="000572F0" w:rsidRDefault="000572F0" w:rsidP="000572F0">
      <w:pPr>
        <w:spacing w:after="0" w:line="240" w:lineRule="auto"/>
      </w:pPr>
      <w:r>
        <w:t>24-10014</w:t>
      </w:r>
    </w:p>
    <w:p w14:paraId="5666BEAB" w14:textId="66DF50A0" w:rsidR="000572F0" w:rsidRDefault="000572F0" w:rsidP="000572F0">
      <w:pPr>
        <w:spacing w:after="0" w:line="240" w:lineRule="auto"/>
      </w:pPr>
      <w:r>
        <w:t>October 16, 2025</w:t>
      </w:r>
    </w:p>
    <w:p w14:paraId="3EAD8894" w14:textId="77777777" w:rsidR="000572F0" w:rsidRDefault="000572F0" w:rsidP="000572F0">
      <w:pPr>
        <w:spacing w:after="0" w:line="240" w:lineRule="auto"/>
      </w:pPr>
    </w:p>
    <w:p w14:paraId="1692F2BA" w14:textId="446E7638" w:rsidR="000572F0" w:rsidRPr="000572F0" w:rsidRDefault="000572F0" w:rsidP="000572F0">
      <w:pPr>
        <w:spacing w:after="0" w:line="240" w:lineRule="auto"/>
        <w:rPr>
          <w:i/>
          <w:iCs/>
        </w:rPr>
      </w:pPr>
      <w:r w:rsidRPr="000572F0">
        <w:rPr>
          <w:i/>
          <w:iCs/>
        </w:rPr>
        <w:t>Summary: Qualified immunity denied because a</w:t>
      </w:r>
      <w:r w:rsidRPr="000572F0">
        <w:rPr>
          <w:i/>
          <w:iCs/>
        </w:rPr>
        <w:t xml:space="preserve"> reasonable jury could find that the officer entered the home without consent</w:t>
      </w:r>
      <w:r w:rsidRPr="000572F0">
        <w:rPr>
          <w:i/>
          <w:iCs/>
        </w:rPr>
        <w:t>.</w:t>
      </w:r>
      <w:r w:rsidR="003148E2">
        <w:rPr>
          <w:i/>
          <w:iCs/>
        </w:rPr>
        <w:t xml:space="preserve"> 5-16, 5-17</w:t>
      </w:r>
    </w:p>
    <w:p w14:paraId="1E76800C" w14:textId="77777777" w:rsidR="000572F0" w:rsidRDefault="000572F0" w:rsidP="000572F0">
      <w:pPr>
        <w:spacing w:after="0" w:line="240" w:lineRule="auto"/>
      </w:pPr>
    </w:p>
    <w:p w14:paraId="431B01DC" w14:textId="77777777" w:rsidR="000572F0" w:rsidRDefault="000572F0" w:rsidP="000572F0">
      <w:pPr>
        <w:spacing w:after="0" w:line="240" w:lineRule="auto"/>
      </w:pPr>
      <w:r>
        <w:t xml:space="preserve">Early one morning, law enforcement officers went to the home of an individual whose son was suspected of assault and possibly being armed. The officers approached the house from different sides, announced their presence, and knocked on the front and side doors. The resident, believing his son was at the door, opened the back door—where no officer had knocked—and walked back inside without seeing or speaking to any officer. An officer then entered the home through the open back door without a </w:t>
      </w:r>
      <w:proofErr w:type="gramStart"/>
      <w:r>
        <w:t>warrant</w:t>
      </w:r>
      <w:proofErr w:type="gramEnd"/>
      <w:r>
        <w:t xml:space="preserve"> or exigent circumstances, only announcing his presence after passing through the kitchen. The resident, who was in his bedroom, was confronted, tased, handcuffed, and detained outside for </w:t>
      </w:r>
      <w:proofErr w:type="gramStart"/>
      <w:r>
        <w:t>a period of time</w:t>
      </w:r>
      <w:proofErr w:type="gramEnd"/>
      <w:r>
        <w:t>.</w:t>
      </w:r>
    </w:p>
    <w:p w14:paraId="7E2322EB" w14:textId="77777777" w:rsidR="000572F0" w:rsidRDefault="000572F0" w:rsidP="000572F0">
      <w:pPr>
        <w:spacing w:after="0" w:line="240" w:lineRule="auto"/>
      </w:pPr>
    </w:p>
    <w:p w14:paraId="24FF94F2" w14:textId="77777777" w:rsidR="000572F0" w:rsidRDefault="000572F0" w:rsidP="000572F0">
      <w:pPr>
        <w:spacing w:after="0" w:line="240" w:lineRule="auto"/>
      </w:pPr>
      <w:r>
        <w:t xml:space="preserve">The resident filed suit in the United States District Court for the Northern District of Florida, alleging unlawful entry and unlawful seizure (including excessive force) in violation of the Fourth Amendment. After discovery, the officer moved for summary judgment </w:t>
      </w:r>
      <w:proofErr w:type="gramStart"/>
      <w:r>
        <w:t>on the basis of</w:t>
      </w:r>
      <w:proofErr w:type="gramEnd"/>
      <w:r>
        <w:t xml:space="preserve"> qualified immunity. The district court denied summary judgment on both the unlawful entry and unlawful seizure claims, finding that material factual disputes precluded qualified immunity. The officer appealed.</w:t>
      </w:r>
    </w:p>
    <w:p w14:paraId="7C01E040" w14:textId="77777777" w:rsidR="000572F0" w:rsidRDefault="000572F0" w:rsidP="000572F0">
      <w:pPr>
        <w:spacing w:after="0" w:line="240" w:lineRule="auto"/>
      </w:pPr>
    </w:p>
    <w:p w14:paraId="4031ACAF" w14:textId="3459FBB5" w:rsidR="00AB1F80" w:rsidRDefault="00BD658C" w:rsidP="000572F0">
      <w:pPr>
        <w:spacing w:after="0" w:line="240" w:lineRule="auto"/>
      </w:pPr>
      <w:r>
        <w:t>On appeal, t</w:t>
      </w:r>
      <w:r w:rsidR="000572F0">
        <w:t xml:space="preserve">he United States Court of Appeals for the Eleventh Circuit reviewed the case de novo. The court held that, construing the facts in the light most favorable to the plaintiff, a reasonable jury could find that the officer entered the home without consent, in violation of clearly established Fourth Amendment law. The court affirmed the district court’s denial of summary judgment on the unlawful entry claim. However, the court found that the unlawful seizure and excessive force claims were entirely derivative of the unlawful entry </w:t>
      </w:r>
      <w:proofErr w:type="gramStart"/>
      <w:r w:rsidR="000572F0">
        <w:t>claim, and</w:t>
      </w:r>
      <w:proofErr w:type="gramEnd"/>
      <w:r w:rsidR="000572F0">
        <w:t xml:space="preserve"> therefore vacated the denial of summary judgment on those claims, </w:t>
      </w:r>
      <w:proofErr w:type="gramStart"/>
      <w:r w:rsidR="000572F0">
        <w:t>remanding</w:t>
      </w:r>
      <w:proofErr w:type="gramEnd"/>
      <w:r w:rsidR="000572F0">
        <w:t xml:space="preserve"> for the district court to treat them as subsumed within the unlawful entry claim.</w:t>
      </w:r>
    </w:p>
    <w:p w14:paraId="428CF294" w14:textId="77777777" w:rsidR="000572F0" w:rsidRDefault="000572F0" w:rsidP="000572F0">
      <w:pPr>
        <w:spacing w:after="0" w:line="240" w:lineRule="auto"/>
      </w:pPr>
    </w:p>
    <w:p w14:paraId="056CCDCE" w14:textId="70C7EEB6" w:rsidR="000572F0" w:rsidRDefault="000572F0" w:rsidP="000572F0">
      <w:pPr>
        <w:spacing w:after="0" w:line="240" w:lineRule="auto"/>
      </w:pPr>
      <w:hyperlink r:id="rId6" w:history="1">
        <w:r w:rsidRPr="005F78D8">
          <w:rPr>
            <w:rStyle w:val="Hyperlink"/>
          </w:rPr>
          <w:t>https://cases.justia.com/federal/appellate-courts/ca11/24-10014/24-10014-2025-10-16.pdf</w:t>
        </w:r>
      </w:hyperlink>
      <w:r>
        <w:t xml:space="preserve"> </w:t>
      </w:r>
    </w:p>
    <w:p w14:paraId="297B8DD1" w14:textId="77777777" w:rsidR="000572F0" w:rsidRDefault="000572F0" w:rsidP="000572F0">
      <w:pPr>
        <w:spacing w:after="0" w:line="240" w:lineRule="auto"/>
      </w:pPr>
    </w:p>
    <w:p w14:paraId="0481A714" w14:textId="77777777" w:rsidR="000572F0" w:rsidRDefault="000572F0" w:rsidP="000572F0">
      <w:pPr>
        <w:spacing w:after="0" w:line="240" w:lineRule="auto"/>
      </w:pPr>
    </w:p>
    <w:p w14:paraId="1E4EFFFC" w14:textId="57BF2184" w:rsidR="000572F0" w:rsidRDefault="000572F0">
      <w:r>
        <w:br w:type="page"/>
      </w:r>
    </w:p>
    <w:p w14:paraId="34D8EE3E" w14:textId="77777777" w:rsidR="000572F0" w:rsidRPr="000572F0" w:rsidRDefault="000572F0" w:rsidP="000572F0">
      <w:pPr>
        <w:spacing w:after="0" w:line="240" w:lineRule="auto"/>
        <w:rPr>
          <w:b/>
          <w:bCs/>
        </w:rPr>
      </w:pPr>
      <w:r w:rsidRPr="000572F0">
        <w:rPr>
          <w:b/>
          <w:bCs/>
        </w:rPr>
        <w:lastRenderedPageBreak/>
        <w:t>State v. Beck</w:t>
      </w:r>
    </w:p>
    <w:p w14:paraId="716A4BC4" w14:textId="510454C8" w:rsidR="000572F0" w:rsidRDefault="000572F0" w:rsidP="000572F0">
      <w:pPr>
        <w:spacing w:after="0" w:line="240" w:lineRule="auto"/>
      </w:pPr>
      <w:r>
        <w:t>Kansas Supreme Court</w:t>
      </w:r>
    </w:p>
    <w:p w14:paraId="31DE23BF" w14:textId="2E35707F" w:rsidR="000572F0" w:rsidRDefault="000572F0" w:rsidP="000572F0">
      <w:pPr>
        <w:spacing w:after="0" w:line="240" w:lineRule="auto"/>
      </w:pPr>
      <w:r>
        <w:t>October 10, 2025</w:t>
      </w:r>
    </w:p>
    <w:p w14:paraId="320E1DB8" w14:textId="77777777" w:rsidR="000572F0" w:rsidRDefault="000572F0" w:rsidP="000572F0">
      <w:pPr>
        <w:spacing w:after="0" w:line="240" w:lineRule="auto"/>
      </w:pPr>
    </w:p>
    <w:p w14:paraId="2F4E1AA7" w14:textId="61DFAF7A" w:rsidR="000572F0" w:rsidRPr="000572F0" w:rsidRDefault="000572F0" w:rsidP="000572F0">
      <w:pPr>
        <w:spacing w:after="0" w:line="240" w:lineRule="auto"/>
        <w:rPr>
          <w:i/>
          <w:iCs/>
        </w:rPr>
      </w:pPr>
      <w:r w:rsidRPr="000572F0">
        <w:rPr>
          <w:i/>
          <w:iCs/>
        </w:rPr>
        <w:t xml:space="preserve">Summary: </w:t>
      </w:r>
      <w:r>
        <w:rPr>
          <w:i/>
          <w:iCs/>
        </w:rPr>
        <w:t>The Traffic stop was not valid at its inception; therefore, the</w:t>
      </w:r>
      <w:r w:rsidRPr="000572F0">
        <w:rPr>
          <w:i/>
          <w:iCs/>
        </w:rPr>
        <w:t xml:space="preserve"> subsequently discovered evidence was excluded.</w:t>
      </w:r>
      <w:r w:rsidR="003148E2">
        <w:rPr>
          <w:i/>
          <w:iCs/>
        </w:rPr>
        <w:t xml:space="preserve"> 10-2</w:t>
      </w:r>
    </w:p>
    <w:p w14:paraId="626137E8" w14:textId="77777777" w:rsidR="000572F0" w:rsidRDefault="000572F0" w:rsidP="000572F0">
      <w:pPr>
        <w:spacing w:after="0" w:line="240" w:lineRule="auto"/>
      </w:pPr>
    </w:p>
    <w:p w14:paraId="46AAA4CF" w14:textId="77777777" w:rsidR="000572F0" w:rsidRDefault="000572F0" w:rsidP="000572F0">
      <w:pPr>
        <w:spacing w:after="0" w:line="240" w:lineRule="auto"/>
      </w:pPr>
      <w:r>
        <w:t xml:space="preserve">A sheriff’s deputy in Geary County, Kansas, stopped a vehicle driven by Brian Beck after observing that a license plate frame partially obscured the state name on the plate. Beck was not committing any driving infractions. During the stop, Beck appeared nervous and gave an unusual explanation for his travel route. A canine unit was called, and after the dog alerted, Beck consented to a search of his car, which led to the discovery of over two pounds of methamphetamine. Beck was charged with possession with intent to </w:t>
      </w:r>
      <w:proofErr w:type="gramStart"/>
      <w:r>
        <w:t>distribute</w:t>
      </w:r>
      <w:proofErr w:type="gramEnd"/>
      <w:r>
        <w:t>, possession without a drug tax stamp, and interference with law enforcement. He moved to suppress the evidence, arguing the stop was not supported by reasonable suspicion, but the Geary District Court denied the motion. At trial, Beck renewed his objection, which was again overruled, and a jury convicted him on all counts.</w:t>
      </w:r>
    </w:p>
    <w:p w14:paraId="1B8177C3" w14:textId="77777777" w:rsidR="000572F0" w:rsidRDefault="000572F0" w:rsidP="000572F0">
      <w:pPr>
        <w:spacing w:after="0" w:line="240" w:lineRule="auto"/>
      </w:pPr>
    </w:p>
    <w:p w14:paraId="50DC3028" w14:textId="77777777" w:rsidR="000572F0" w:rsidRDefault="000572F0" w:rsidP="000572F0">
      <w:pPr>
        <w:spacing w:after="0" w:line="240" w:lineRule="auto"/>
      </w:pPr>
      <w:r>
        <w:t>On appeal, the Kansas Court of Appeals affirmed the convictions, holding that the partial obstruction of the state name justified the stop under Kansas law, specifically K.S.A. 8-133, which requires license plates to be “clearly visible” and “clearly legible.” The appellate panel reasoned that covering half of the state name violated the statute, regardless of whether the plate could otherwise be identified.</w:t>
      </w:r>
    </w:p>
    <w:p w14:paraId="2A3050D7" w14:textId="77777777" w:rsidR="000572F0" w:rsidRDefault="000572F0" w:rsidP="000572F0">
      <w:pPr>
        <w:spacing w:after="0" w:line="240" w:lineRule="auto"/>
      </w:pPr>
    </w:p>
    <w:p w14:paraId="5A759CEB" w14:textId="16AFA646" w:rsidR="000572F0" w:rsidRDefault="003148E2" w:rsidP="000572F0">
      <w:pPr>
        <w:spacing w:after="0" w:line="240" w:lineRule="auto"/>
      </w:pPr>
      <w:r>
        <w:t>On appeal, t</w:t>
      </w:r>
      <w:r w:rsidR="000572F0">
        <w:t xml:space="preserve">he Supreme Court of the State of Kansas reviewed only the statutory interpretation issue. It held that Kansas law does not require the state name to be clearly legible on license plates, except as it appears on registration decals. The court found that the lower courts had misapplied the statute by treating the obscured state name as a violation. The Supreme Court reversed the decisions of both the district court and the Court of Appeals on this issue and </w:t>
      </w:r>
      <w:proofErr w:type="gramStart"/>
      <w:r w:rsidR="000572F0">
        <w:t>remanded</w:t>
      </w:r>
      <w:proofErr w:type="gramEnd"/>
      <w:r w:rsidR="000572F0">
        <w:t xml:space="preserve"> the case for further proceedings consistent with its interpretation of the statute.</w:t>
      </w:r>
    </w:p>
    <w:p w14:paraId="15522DF8" w14:textId="77777777" w:rsidR="000572F0" w:rsidRDefault="000572F0" w:rsidP="000572F0">
      <w:pPr>
        <w:spacing w:after="0" w:line="240" w:lineRule="auto"/>
      </w:pPr>
    </w:p>
    <w:p w14:paraId="5EC970D7" w14:textId="68B77B39" w:rsidR="000572F0" w:rsidRDefault="000572F0" w:rsidP="000572F0">
      <w:pPr>
        <w:spacing w:after="0" w:line="240" w:lineRule="auto"/>
      </w:pPr>
      <w:hyperlink r:id="rId7" w:history="1">
        <w:r w:rsidRPr="005F78D8">
          <w:rPr>
            <w:rStyle w:val="Hyperlink"/>
          </w:rPr>
          <w:t>https://cases.justia.com/kansas/supreme-court/2025-126350-0.pdf</w:t>
        </w:r>
      </w:hyperlink>
      <w:r>
        <w:t xml:space="preserve"> </w:t>
      </w:r>
    </w:p>
    <w:p w14:paraId="13E53948" w14:textId="77777777" w:rsidR="000572F0" w:rsidRDefault="000572F0" w:rsidP="000572F0">
      <w:pPr>
        <w:spacing w:after="0" w:line="240" w:lineRule="auto"/>
      </w:pPr>
    </w:p>
    <w:p w14:paraId="5155967F" w14:textId="77777777" w:rsidR="000572F0" w:rsidRDefault="000572F0" w:rsidP="000572F0">
      <w:pPr>
        <w:spacing w:after="0" w:line="240" w:lineRule="auto"/>
      </w:pPr>
    </w:p>
    <w:p w14:paraId="1680F662" w14:textId="77777777" w:rsidR="000572F0" w:rsidRDefault="000572F0">
      <w:r>
        <w:br w:type="page"/>
      </w:r>
    </w:p>
    <w:p w14:paraId="03F7F4D2" w14:textId="0D01BB74" w:rsidR="000572F0" w:rsidRPr="000572F0" w:rsidRDefault="000572F0" w:rsidP="000572F0">
      <w:pPr>
        <w:spacing w:after="0" w:line="240" w:lineRule="auto"/>
        <w:rPr>
          <w:b/>
          <w:bCs/>
        </w:rPr>
      </w:pPr>
      <w:r w:rsidRPr="000572F0">
        <w:rPr>
          <w:b/>
          <w:bCs/>
        </w:rPr>
        <w:lastRenderedPageBreak/>
        <w:t xml:space="preserve">Moretti v. </w:t>
      </w:r>
      <w:proofErr w:type="spellStart"/>
      <w:r w:rsidRPr="000572F0">
        <w:rPr>
          <w:b/>
          <w:bCs/>
        </w:rPr>
        <w:t>Thorsdottir</w:t>
      </w:r>
      <w:proofErr w:type="spellEnd"/>
    </w:p>
    <w:p w14:paraId="42C3545B" w14:textId="743D208C" w:rsidR="000572F0" w:rsidRDefault="000572F0" w:rsidP="000572F0">
      <w:pPr>
        <w:spacing w:after="0" w:line="240" w:lineRule="auto"/>
      </w:pPr>
      <w:r>
        <w:t>U.S. Court of Appeals for the Fourth Circuit</w:t>
      </w:r>
    </w:p>
    <w:p w14:paraId="2F2702C3" w14:textId="3CD66125" w:rsidR="000572F0" w:rsidRDefault="000572F0" w:rsidP="000572F0">
      <w:pPr>
        <w:spacing w:after="0" w:line="240" w:lineRule="auto"/>
      </w:pPr>
      <w:r>
        <w:t>23-1547</w:t>
      </w:r>
    </w:p>
    <w:p w14:paraId="06029A3C" w14:textId="34177B85" w:rsidR="000572F0" w:rsidRDefault="000572F0" w:rsidP="000572F0">
      <w:pPr>
        <w:spacing w:after="0" w:line="240" w:lineRule="auto"/>
      </w:pPr>
      <w:r>
        <w:t>October 15, 2025</w:t>
      </w:r>
    </w:p>
    <w:p w14:paraId="2CE3A4EC" w14:textId="77777777" w:rsidR="000572F0" w:rsidRDefault="000572F0" w:rsidP="000572F0">
      <w:pPr>
        <w:spacing w:after="0" w:line="240" w:lineRule="auto"/>
      </w:pPr>
    </w:p>
    <w:p w14:paraId="316F006E" w14:textId="38CEF147" w:rsidR="000572F0" w:rsidRPr="00B80E4D" w:rsidRDefault="000572F0" w:rsidP="000572F0">
      <w:pPr>
        <w:spacing w:after="0" w:line="240" w:lineRule="auto"/>
        <w:rPr>
          <w:i/>
          <w:iCs/>
        </w:rPr>
      </w:pPr>
      <w:r w:rsidRPr="00B80E4D">
        <w:rPr>
          <w:i/>
          <w:iCs/>
        </w:rPr>
        <w:t>Summary: D</w:t>
      </w:r>
      <w:r w:rsidRPr="00B80E4D">
        <w:rPr>
          <w:i/>
          <w:iCs/>
        </w:rPr>
        <w:t xml:space="preserve">etective </w:t>
      </w:r>
      <w:r w:rsidRPr="00B80E4D">
        <w:rPr>
          <w:i/>
          <w:iCs/>
        </w:rPr>
        <w:t xml:space="preserve">did not </w:t>
      </w:r>
      <w:r w:rsidRPr="00B80E4D">
        <w:rPr>
          <w:i/>
          <w:iCs/>
        </w:rPr>
        <w:t xml:space="preserve">act with deliberate or reckless disregard for the truth, </w:t>
      </w:r>
      <w:proofErr w:type="gramStart"/>
      <w:r w:rsidRPr="00B80E4D">
        <w:rPr>
          <w:i/>
          <w:iCs/>
        </w:rPr>
        <w:t>nor  omit</w:t>
      </w:r>
      <w:proofErr w:type="gramEnd"/>
      <w:r w:rsidRPr="00B80E4D">
        <w:rPr>
          <w:i/>
          <w:iCs/>
        </w:rPr>
        <w:t xml:space="preserve"> material facts necessary to negate probable cause.</w:t>
      </w:r>
      <w:r w:rsidR="003148E2">
        <w:rPr>
          <w:i/>
          <w:iCs/>
        </w:rPr>
        <w:t xml:space="preserve"> 4-2, 9-12</w:t>
      </w:r>
    </w:p>
    <w:p w14:paraId="0A7046F8" w14:textId="77777777" w:rsidR="000572F0" w:rsidRPr="00B80E4D" w:rsidRDefault="000572F0" w:rsidP="000572F0">
      <w:pPr>
        <w:spacing w:after="0" w:line="240" w:lineRule="auto"/>
        <w:rPr>
          <w:i/>
          <w:iCs/>
        </w:rPr>
      </w:pPr>
    </w:p>
    <w:p w14:paraId="105F44C1" w14:textId="77777777" w:rsidR="000572F0" w:rsidRDefault="000572F0" w:rsidP="000572F0">
      <w:pPr>
        <w:spacing w:after="0" w:line="240" w:lineRule="auto"/>
      </w:pPr>
      <w:r>
        <w:t xml:space="preserve">A man was accused of sexually abusing a minor, referred to as Jane Doe, based on allegations that surfaced in 2018 and 2019. Initially, the police received a referral from Child Protective Services after Doe made statements to a suicide hotline about being abused by her “father’s friend.” The case was closed when Doe refused to discuss the allegations. In 2019, after another suicide attempt, Doe identified the man by name during therapy, and this information was relayed to the police. Detective </w:t>
      </w:r>
      <w:proofErr w:type="spellStart"/>
      <w:r>
        <w:t>Thorsdottir</w:t>
      </w:r>
      <w:proofErr w:type="spellEnd"/>
      <w:r>
        <w:t xml:space="preserve"> conducted a forensic interview with Doe, who provided detailed accounts of abuse and identified the accused. The investigation included interviews with Doe’s parents and therapists, surveillance, and searches of the accused’s home, which yielded a handgun but no evidence of child pornography. The accused was arrested and indicted, but the charges were later dropped after new evidence suggested Doe had previously identified a different individual as her abuser.</w:t>
      </w:r>
    </w:p>
    <w:p w14:paraId="31DD5D7B" w14:textId="77777777" w:rsidR="000572F0" w:rsidRDefault="000572F0" w:rsidP="000572F0">
      <w:pPr>
        <w:spacing w:after="0" w:line="240" w:lineRule="auto"/>
      </w:pPr>
    </w:p>
    <w:p w14:paraId="14580876" w14:textId="77777777" w:rsidR="000572F0" w:rsidRDefault="000572F0" w:rsidP="000572F0">
      <w:pPr>
        <w:spacing w:after="0" w:line="240" w:lineRule="auto"/>
      </w:pPr>
      <w:r>
        <w:t>The accused filed a civil suit in Virginia state court, later removed to the United States District Court for the Eastern District of Virginia, alleging malicious prosecution under both state law and the Fourth Amendment. The district court dismissed the complaint under Rule 12(b)(6), finding that the plaintiff failed to plausibly allege a lack of probable cause for his arrest and prosecution, and that the detective was entitled to qualified immunity on the federal claim.</w:t>
      </w:r>
    </w:p>
    <w:p w14:paraId="10494301" w14:textId="77777777" w:rsidR="000572F0" w:rsidRDefault="000572F0" w:rsidP="000572F0">
      <w:pPr>
        <w:spacing w:after="0" w:line="240" w:lineRule="auto"/>
      </w:pPr>
    </w:p>
    <w:p w14:paraId="271AEBA0" w14:textId="659C3050" w:rsidR="000572F0" w:rsidRDefault="000572F0" w:rsidP="000572F0">
      <w:pPr>
        <w:spacing w:after="0" w:line="240" w:lineRule="auto"/>
      </w:pPr>
      <w:r>
        <w:t xml:space="preserve">On appeal, the United States Court of Appeals for the Fourth Circuit reviewed the dismissal de novo. The court held that the complaint and its exhibits did not plausibly allege that the detective acted with deliberate or reckless disregard for the truth, nor that she omitted material facts necessary to negate probable cause. The court concluded that probable cause existed based on Doe’s identification and corroborating </w:t>
      </w:r>
      <w:proofErr w:type="gramStart"/>
      <w:r>
        <w:t>evidence, and</w:t>
      </w:r>
      <w:proofErr w:type="gramEnd"/>
      <w:r>
        <w:t xml:space="preserve"> affirmed the district court’s dismissal of both the federal and state malicious prosecution claims.</w:t>
      </w:r>
    </w:p>
    <w:p w14:paraId="1FB811B3" w14:textId="77777777" w:rsidR="00B80E4D" w:rsidRDefault="00B80E4D" w:rsidP="000572F0">
      <w:pPr>
        <w:spacing w:after="0" w:line="240" w:lineRule="auto"/>
      </w:pPr>
    </w:p>
    <w:p w14:paraId="548E69B6" w14:textId="68A23298" w:rsidR="00B80E4D" w:rsidRDefault="00B80E4D" w:rsidP="000572F0">
      <w:pPr>
        <w:spacing w:after="0" w:line="240" w:lineRule="auto"/>
      </w:pPr>
      <w:hyperlink r:id="rId8" w:history="1">
        <w:r w:rsidRPr="005F78D8">
          <w:rPr>
            <w:rStyle w:val="Hyperlink"/>
          </w:rPr>
          <w:t>https://cases.justia.com/federal/appellate-courts/ca4/23-1547/23-1547-2025-10-15.pdf</w:t>
        </w:r>
      </w:hyperlink>
      <w:r>
        <w:t xml:space="preserve"> </w:t>
      </w:r>
    </w:p>
    <w:p w14:paraId="7696DFB2" w14:textId="77777777" w:rsidR="00B80E4D" w:rsidRDefault="00B80E4D" w:rsidP="000572F0">
      <w:pPr>
        <w:spacing w:after="0" w:line="240" w:lineRule="auto"/>
      </w:pPr>
    </w:p>
    <w:p w14:paraId="3874B4A5" w14:textId="7042F6CE" w:rsidR="00B80E4D" w:rsidRDefault="00B80E4D">
      <w:r>
        <w:br w:type="page"/>
      </w:r>
    </w:p>
    <w:p w14:paraId="6A6D0A1F" w14:textId="77777777" w:rsidR="00B80E4D" w:rsidRPr="00B80E4D" w:rsidRDefault="00B80E4D" w:rsidP="00B80E4D">
      <w:pPr>
        <w:spacing w:after="0" w:line="240" w:lineRule="auto"/>
        <w:rPr>
          <w:b/>
          <w:bCs/>
        </w:rPr>
      </w:pPr>
      <w:r w:rsidRPr="00B80E4D">
        <w:rPr>
          <w:b/>
          <w:bCs/>
        </w:rPr>
        <w:lastRenderedPageBreak/>
        <w:t>Adams v. Lexington-Fayette Urban County Gov't</w:t>
      </w:r>
    </w:p>
    <w:p w14:paraId="0FC8EE2C" w14:textId="2263E182" w:rsidR="00B80E4D" w:rsidRDefault="00B80E4D" w:rsidP="00B80E4D">
      <w:pPr>
        <w:spacing w:after="0" w:line="240" w:lineRule="auto"/>
      </w:pPr>
      <w:r>
        <w:t>U.S. Court of Appeals for the Sixth Circuit</w:t>
      </w:r>
    </w:p>
    <w:p w14:paraId="1D009A70" w14:textId="08FCD79F" w:rsidR="00B80E4D" w:rsidRDefault="00B80E4D" w:rsidP="00B80E4D">
      <w:pPr>
        <w:spacing w:after="0" w:line="240" w:lineRule="auto"/>
      </w:pPr>
      <w:r>
        <w:t>24-6028</w:t>
      </w:r>
    </w:p>
    <w:p w14:paraId="74B7B7C5" w14:textId="79668C55" w:rsidR="00B80E4D" w:rsidRDefault="00B80E4D" w:rsidP="00B80E4D">
      <w:pPr>
        <w:spacing w:after="0" w:line="240" w:lineRule="auto"/>
      </w:pPr>
      <w:r>
        <w:t>October 10, 2025</w:t>
      </w:r>
    </w:p>
    <w:p w14:paraId="4711EAE4" w14:textId="77777777" w:rsidR="00B80E4D" w:rsidRDefault="00B80E4D" w:rsidP="00B80E4D">
      <w:pPr>
        <w:spacing w:after="0" w:line="240" w:lineRule="auto"/>
      </w:pPr>
    </w:p>
    <w:p w14:paraId="53BB1621" w14:textId="5CEC3A1C" w:rsidR="00B80E4D" w:rsidRPr="00B80E4D" w:rsidRDefault="00B80E4D" w:rsidP="00B80E4D">
      <w:pPr>
        <w:spacing w:after="0" w:line="240" w:lineRule="auto"/>
        <w:rPr>
          <w:i/>
          <w:iCs/>
        </w:rPr>
      </w:pPr>
      <w:r w:rsidRPr="00B80E4D">
        <w:rPr>
          <w:i/>
          <w:iCs/>
        </w:rPr>
        <w:t>Summary: Fourth Amendment claim dismissed because the plaintiffs were never seized.</w:t>
      </w:r>
    </w:p>
    <w:p w14:paraId="4B4CDAFC" w14:textId="77777777" w:rsidR="00B80E4D" w:rsidRDefault="00B80E4D" w:rsidP="00B80E4D">
      <w:pPr>
        <w:spacing w:after="0" w:line="240" w:lineRule="auto"/>
      </w:pPr>
    </w:p>
    <w:p w14:paraId="5E79DE12" w14:textId="77777777" w:rsidR="00B80E4D" w:rsidRDefault="00B80E4D" w:rsidP="00B80E4D">
      <w:pPr>
        <w:spacing w:after="0" w:line="240" w:lineRule="auto"/>
      </w:pPr>
      <w:r>
        <w:t xml:space="preserve">Five University of Kentucky football players attended a fraternity party where they were subjected to racial slurs and, in some cases, physical assault by attendees. After the incident, a fraternity member called the police and accused the players of assault and burglary, claiming they brandished weapons. Detective Cory </w:t>
      </w:r>
      <w:proofErr w:type="spellStart"/>
      <w:r>
        <w:t>Vinlove</w:t>
      </w:r>
      <w:proofErr w:type="spellEnd"/>
      <w:r>
        <w:t xml:space="preserve"> led the investigation and, despite evidence suggesting the players were victims, allegedly fabricated information to support criminal charges against them. The university cleared the players of wrongdoing, but </w:t>
      </w:r>
      <w:proofErr w:type="spellStart"/>
      <w:r>
        <w:t>Vinlove</w:t>
      </w:r>
      <w:proofErr w:type="spellEnd"/>
      <w:r>
        <w:t xml:space="preserve"> proceeded with charges, and a police press release publicized the allegations. Ultimately, a grand jury declined to indict the players, but the negative publicity had already damaged their reputations and careers.</w:t>
      </w:r>
    </w:p>
    <w:p w14:paraId="0449414B" w14:textId="77777777" w:rsidR="00B80E4D" w:rsidRDefault="00B80E4D" w:rsidP="00B80E4D">
      <w:pPr>
        <w:spacing w:after="0" w:line="240" w:lineRule="auto"/>
      </w:pPr>
    </w:p>
    <w:p w14:paraId="095A8B2E" w14:textId="77777777" w:rsidR="00B80E4D" w:rsidRDefault="00B80E4D" w:rsidP="00B80E4D">
      <w:pPr>
        <w:spacing w:after="0" w:line="240" w:lineRule="auto"/>
      </w:pPr>
      <w:r>
        <w:t xml:space="preserve">The players filed lawsuits in the United States District Court for the Eastern District of Kentucky against </w:t>
      </w:r>
      <w:proofErr w:type="spellStart"/>
      <w:r>
        <w:t>Vinlove</w:t>
      </w:r>
      <w:proofErr w:type="spellEnd"/>
      <w:r>
        <w:t xml:space="preserve">, Sergeant Donnell Gordon, Police Chief Lawrence Weathers, and the Lexington-Fayette Urban County Government, asserting federal claims under 42 U.S.C. § 1983 (including malicious prosecution and fabrication of evidence) and various state-law claims. The district court consolidated the cases and granted the defendants’ motion to dismiss all claims except a state-law malicious prosecution claim against </w:t>
      </w:r>
      <w:proofErr w:type="spellStart"/>
      <w:r>
        <w:t>Vinlove</w:t>
      </w:r>
      <w:proofErr w:type="spellEnd"/>
      <w:r>
        <w:t xml:space="preserve">. The court found that the plaintiffs had not alleged </w:t>
      </w:r>
      <w:proofErr w:type="gramStart"/>
      <w:r>
        <w:t>a deprivation</w:t>
      </w:r>
      <w:proofErr w:type="gramEnd"/>
      <w:r>
        <w:t xml:space="preserve"> of liberty under the Fourth Amendment, as required for their federal claims, and that the state-law claims were inadequately pled. The court later dismissed the remaining state-law claim for lack of subject matter jurisdiction.</w:t>
      </w:r>
    </w:p>
    <w:p w14:paraId="719A0846" w14:textId="77777777" w:rsidR="00B80E4D" w:rsidRDefault="00B80E4D" w:rsidP="00B80E4D">
      <w:pPr>
        <w:spacing w:after="0" w:line="240" w:lineRule="auto"/>
      </w:pPr>
    </w:p>
    <w:p w14:paraId="54032702" w14:textId="3D3C57D8" w:rsidR="00B80E4D" w:rsidRDefault="00B80E4D" w:rsidP="00B80E4D">
      <w:pPr>
        <w:spacing w:after="0" w:line="240" w:lineRule="auto"/>
      </w:pPr>
      <w:r>
        <w:t>On appeal, the United States Court of Appeals for the Sixth Circuit affirmed the district court’s decision. The Sixth Circuit held that the plaintiffs failed to allege a deprivation of liberty under the Fourth Amendment, as they were not arrested, detained, or subject to pretrial restrictions. The court also held that the press release was absolutely privileged under Kentucky law, defeating the defamation claim, and that the plaintiffs did not sufficiently allege that Gordon or Weathers initiated or continued the prosecution, defeating the state-law malicious prosecution claim.</w:t>
      </w:r>
    </w:p>
    <w:p w14:paraId="4B8EF61B" w14:textId="77777777" w:rsidR="00B80E4D" w:rsidRDefault="00B80E4D" w:rsidP="00B80E4D">
      <w:pPr>
        <w:spacing w:after="0" w:line="240" w:lineRule="auto"/>
      </w:pPr>
    </w:p>
    <w:p w14:paraId="5A9A0F2F" w14:textId="0573EBAD" w:rsidR="00B80E4D" w:rsidRDefault="00B80E4D" w:rsidP="00B80E4D">
      <w:pPr>
        <w:spacing w:after="0" w:line="240" w:lineRule="auto"/>
      </w:pPr>
      <w:hyperlink r:id="rId9" w:history="1">
        <w:r w:rsidRPr="005F78D8">
          <w:rPr>
            <w:rStyle w:val="Hyperlink"/>
          </w:rPr>
          <w:t>https://cases.justia.com/federal/appellate-courts/ca6/24-6028/24-6028-2025-10-10.pdf</w:t>
        </w:r>
      </w:hyperlink>
      <w:r>
        <w:t xml:space="preserve"> </w:t>
      </w:r>
    </w:p>
    <w:p w14:paraId="63C31793" w14:textId="77777777" w:rsidR="00B80E4D" w:rsidRDefault="00B80E4D" w:rsidP="00B80E4D">
      <w:pPr>
        <w:spacing w:after="0" w:line="240" w:lineRule="auto"/>
      </w:pPr>
    </w:p>
    <w:p w14:paraId="2C8EA2D2" w14:textId="77777777" w:rsidR="00B80E4D" w:rsidRDefault="00B80E4D" w:rsidP="00B80E4D">
      <w:pPr>
        <w:spacing w:after="0" w:line="240" w:lineRule="auto"/>
      </w:pPr>
    </w:p>
    <w:p w14:paraId="78DE605D" w14:textId="77777777" w:rsidR="00EB0EF1" w:rsidRDefault="00EB0EF1">
      <w:r>
        <w:br w:type="page"/>
      </w:r>
    </w:p>
    <w:p w14:paraId="649754CD" w14:textId="3EC07892" w:rsidR="00EB0EF1" w:rsidRPr="00EB0EF1" w:rsidRDefault="00EB0EF1" w:rsidP="00EB0EF1">
      <w:pPr>
        <w:spacing w:after="0" w:line="240" w:lineRule="auto"/>
        <w:rPr>
          <w:b/>
          <w:bCs/>
        </w:rPr>
      </w:pPr>
      <w:r w:rsidRPr="00EB0EF1">
        <w:rPr>
          <w:b/>
          <w:bCs/>
        </w:rPr>
        <w:lastRenderedPageBreak/>
        <w:t>Coley-Pearson v. Martin</w:t>
      </w:r>
    </w:p>
    <w:p w14:paraId="543F4C46" w14:textId="311284E9" w:rsidR="00EB0EF1" w:rsidRDefault="00EB0EF1" w:rsidP="00EB0EF1">
      <w:pPr>
        <w:spacing w:after="0" w:line="240" w:lineRule="auto"/>
      </w:pPr>
      <w:r>
        <w:t>U.S. Court of Appeals for the Eleventh Circuit</w:t>
      </w:r>
    </w:p>
    <w:p w14:paraId="7E6FCE0E" w14:textId="5AE55F81" w:rsidR="00EB0EF1" w:rsidRDefault="00EB0EF1" w:rsidP="00EB0EF1">
      <w:pPr>
        <w:spacing w:after="0" w:line="240" w:lineRule="auto"/>
      </w:pPr>
      <w:r>
        <w:t>23-13249</w:t>
      </w:r>
    </w:p>
    <w:p w14:paraId="2DCFF6BC" w14:textId="2BD31109" w:rsidR="00EB0EF1" w:rsidRDefault="00EB0EF1" w:rsidP="00EB0EF1">
      <w:pPr>
        <w:spacing w:after="0" w:line="240" w:lineRule="auto"/>
      </w:pPr>
      <w:r>
        <w:t>October 14, 2025</w:t>
      </w:r>
    </w:p>
    <w:p w14:paraId="1E395C92" w14:textId="77777777" w:rsidR="00EB0EF1" w:rsidRDefault="00EB0EF1" w:rsidP="00EB0EF1">
      <w:pPr>
        <w:spacing w:after="0" w:line="240" w:lineRule="auto"/>
      </w:pPr>
    </w:p>
    <w:p w14:paraId="2344E3CE" w14:textId="1C02E941" w:rsidR="00EB0EF1" w:rsidRPr="00EB0EF1" w:rsidRDefault="00EB0EF1" w:rsidP="00EB0EF1">
      <w:pPr>
        <w:spacing w:after="0" w:line="240" w:lineRule="auto"/>
        <w:rPr>
          <w:i/>
          <w:iCs/>
        </w:rPr>
      </w:pPr>
      <w:r w:rsidRPr="00EB0EF1">
        <w:rPr>
          <w:i/>
          <w:iCs/>
        </w:rPr>
        <w:t xml:space="preserve">Summary: Plaintiff was trespassed by </w:t>
      </w:r>
      <w:r>
        <w:rPr>
          <w:i/>
          <w:iCs/>
        </w:rPr>
        <w:t>a police sergeant, so the Election Supervisor was not liable for First and Fourth Amendment claims</w:t>
      </w:r>
      <w:r w:rsidRPr="00EB0EF1">
        <w:rPr>
          <w:i/>
          <w:iCs/>
        </w:rPr>
        <w:t>.</w:t>
      </w:r>
      <w:r w:rsidR="00524C24">
        <w:rPr>
          <w:i/>
          <w:iCs/>
        </w:rPr>
        <w:t xml:space="preserve"> 9-12</w:t>
      </w:r>
    </w:p>
    <w:p w14:paraId="24E42C01" w14:textId="77777777" w:rsidR="00EB0EF1" w:rsidRDefault="00EB0EF1" w:rsidP="00EB0EF1">
      <w:pPr>
        <w:spacing w:after="0" w:line="240" w:lineRule="auto"/>
      </w:pPr>
    </w:p>
    <w:p w14:paraId="6078F7DB" w14:textId="77777777" w:rsidR="00EB0EF1" w:rsidRDefault="00EB0EF1" w:rsidP="00EB0EF1">
      <w:pPr>
        <w:spacing w:after="0" w:line="240" w:lineRule="auto"/>
      </w:pPr>
      <w:r>
        <w:t>A city commissioner in Coffee County, Georgia, who was active in assisting voters, became involved in a heated exchange with the county’s Elections Supervisor at a polling site during early voting for the 2020 general election. After the confrontation, the police were called, and the commissioner left. Later that day, she returned to the polling site to assist another voter, prompting another police response. A City of Douglas police sergeant then issued her a criminal trespass warning, banning her from all county polling places for the remainder of the election period. When she refused to leave, she was arrested.</w:t>
      </w:r>
    </w:p>
    <w:p w14:paraId="1BC97011" w14:textId="77777777" w:rsidR="00EB0EF1" w:rsidRDefault="00EB0EF1" w:rsidP="00EB0EF1">
      <w:pPr>
        <w:spacing w:after="0" w:line="240" w:lineRule="auto"/>
      </w:pPr>
    </w:p>
    <w:p w14:paraId="19DCF80C" w14:textId="77777777" w:rsidR="00EB0EF1" w:rsidRDefault="00EB0EF1" w:rsidP="00EB0EF1">
      <w:pPr>
        <w:spacing w:after="0" w:line="240" w:lineRule="auto"/>
      </w:pPr>
      <w:r>
        <w:t>The commissioner filed a lawsuit in the United States District Court for the Southern District of Georgia against the Elections Supervisor and Coffee County, alleging that the trespass warning violated her First Amendment rights and that her arrest violated the Fourth Amendment. The district court granted summary judgment to the defendants, finding that the police sergeant, not the Elections Supervisor or the County, had issued the trespass warning and made the arrest. The court concluded that the plaintiff failed to show that the defendants caused her alleged injuries, as required under 42 U.S.C. § 1983.</w:t>
      </w:r>
    </w:p>
    <w:p w14:paraId="4D249CDB" w14:textId="77777777" w:rsidR="00EB0EF1" w:rsidRDefault="00EB0EF1" w:rsidP="00EB0EF1">
      <w:pPr>
        <w:spacing w:after="0" w:line="240" w:lineRule="auto"/>
      </w:pPr>
    </w:p>
    <w:p w14:paraId="1C35150A" w14:textId="10A255C1" w:rsidR="00B80E4D" w:rsidRDefault="00EB0EF1" w:rsidP="00EB0EF1">
      <w:pPr>
        <w:spacing w:after="0" w:line="240" w:lineRule="auto"/>
      </w:pPr>
      <w:r>
        <w:t>On appeal, the United States Court of Appeals for the Eleventh Circuit affirmed the district court’s decision. The Eleventh Circuit held that the plaintiff did not present sufficient evidence for a reasonable jury to conclude that the Elections Supervisor, rather than the police sergeant, caused her injuries. The court explained that the sergeant acted as a deliberative and autonomous decision-maker, conducting his own investigation and independently deciding to issue the trespass warning and make the arrest. Because causation is a necessary element of a § 1983 claim, and the plaintiff failed to establish it, summary judgment for the defendants was affirmed.</w:t>
      </w:r>
    </w:p>
    <w:p w14:paraId="43F3EB4C" w14:textId="77777777" w:rsidR="00EB0EF1" w:rsidRDefault="00EB0EF1" w:rsidP="00EB0EF1">
      <w:pPr>
        <w:spacing w:after="0" w:line="240" w:lineRule="auto"/>
      </w:pPr>
    </w:p>
    <w:p w14:paraId="4DA3F47A" w14:textId="5BD679ED" w:rsidR="00EB0EF1" w:rsidRDefault="00EB0EF1" w:rsidP="00EB0EF1">
      <w:pPr>
        <w:spacing w:after="0" w:line="240" w:lineRule="auto"/>
      </w:pPr>
      <w:hyperlink r:id="rId10" w:history="1">
        <w:r w:rsidRPr="005F78D8">
          <w:rPr>
            <w:rStyle w:val="Hyperlink"/>
          </w:rPr>
          <w:t>https://cases.justia.com/federal/appellate-courts/ca11/23-13249/23-13249-2025-10-14.pdf</w:t>
        </w:r>
      </w:hyperlink>
      <w:r>
        <w:t xml:space="preserve"> </w:t>
      </w:r>
    </w:p>
    <w:p w14:paraId="63F70B19" w14:textId="77777777" w:rsidR="00EB0EF1" w:rsidRDefault="00EB0EF1" w:rsidP="00EB0EF1">
      <w:pPr>
        <w:spacing w:after="0" w:line="240" w:lineRule="auto"/>
      </w:pPr>
    </w:p>
    <w:p w14:paraId="6A51364F" w14:textId="77777777" w:rsidR="00B500A8" w:rsidRDefault="00B500A8">
      <w:r>
        <w:br w:type="page"/>
      </w:r>
    </w:p>
    <w:p w14:paraId="0B266E9B" w14:textId="1068E056" w:rsidR="00B500A8" w:rsidRPr="00B500A8" w:rsidRDefault="00B500A8" w:rsidP="00B500A8">
      <w:pPr>
        <w:spacing w:after="0" w:line="240" w:lineRule="auto"/>
        <w:rPr>
          <w:b/>
          <w:bCs/>
        </w:rPr>
      </w:pPr>
      <w:r w:rsidRPr="00B500A8">
        <w:rPr>
          <w:b/>
          <w:bCs/>
        </w:rPr>
        <w:lastRenderedPageBreak/>
        <w:t>United States</w:t>
      </w:r>
      <w:r w:rsidRPr="00B500A8">
        <w:rPr>
          <w:b/>
          <w:bCs/>
        </w:rPr>
        <w:t xml:space="preserve"> v. Clark</w:t>
      </w:r>
    </w:p>
    <w:p w14:paraId="01A84697" w14:textId="18BB2577" w:rsidR="00B500A8" w:rsidRDefault="00B500A8" w:rsidP="00B500A8">
      <w:pPr>
        <w:spacing w:after="0" w:line="240" w:lineRule="auto"/>
      </w:pPr>
      <w:r>
        <w:t>U.S. Court of Appeals for the District of Columbia Circuit</w:t>
      </w:r>
    </w:p>
    <w:p w14:paraId="7542EA6F" w14:textId="20A3DF42" w:rsidR="00B500A8" w:rsidRDefault="00B500A8" w:rsidP="00B500A8">
      <w:pPr>
        <w:spacing w:after="0" w:line="240" w:lineRule="auto"/>
      </w:pPr>
      <w:r>
        <w:t>24-3033</w:t>
      </w:r>
    </w:p>
    <w:p w14:paraId="65F99665" w14:textId="1EDBC176" w:rsidR="00B500A8" w:rsidRDefault="00B500A8" w:rsidP="00B500A8">
      <w:pPr>
        <w:spacing w:after="0" w:line="240" w:lineRule="auto"/>
      </w:pPr>
      <w:r>
        <w:t>October 10, 2025</w:t>
      </w:r>
    </w:p>
    <w:p w14:paraId="330B8C70" w14:textId="77777777" w:rsidR="00B500A8" w:rsidRDefault="00B500A8" w:rsidP="00B500A8">
      <w:pPr>
        <w:spacing w:after="0" w:line="240" w:lineRule="auto"/>
      </w:pPr>
    </w:p>
    <w:p w14:paraId="3F77C0B8" w14:textId="6FA2CDD0" w:rsidR="00B500A8" w:rsidRPr="00B500A8" w:rsidRDefault="00B500A8" w:rsidP="00B500A8">
      <w:pPr>
        <w:spacing w:after="0" w:line="240" w:lineRule="auto"/>
        <w:rPr>
          <w:i/>
          <w:iCs/>
        </w:rPr>
      </w:pPr>
      <w:r w:rsidRPr="00B500A8">
        <w:rPr>
          <w:i/>
          <w:iCs/>
        </w:rPr>
        <w:t>Summary: Officer’s conviction for 18 USC 242 violation was upheld.</w:t>
      </w:r>
      <w:r w:rsidR="00524C24">
        <w:rPr>
          <w:i/>
          <w:iCs/>
        </w:rPr>
        <w:t xml:space="preserve"> 9-12</w:t>
      </w:r>
    </w:p>
    <w:p w14:paraId="702920EB" w14:textId="77777777" w:rsidR="00B500A8" w:rsidRDefault="00B500A8" w:rsidP="00B500A8">
      <w:pPr>
        <w:spacing w:after="0" w:line="240" w:lineRule="auto"/>
      </w:pPr>
    </w:p>
    <w:p w14:paraId="74E0BB8C" w14:textId="77777777" w:rsidR="00B500A8" w:rsidRDefault="00B500A8" w:rsidP="00B500A8">
      <w:pPr>
        <w:spacing w:after="0" w:line="240" w:lineRule="auto"/>
      </w:pPr>
      <w:r>
        <w:t xml:space="preserve">A police officer with the Metropolitan Police Department in Washington, D.C., was involved in two separate incidents within five days, during which he used neck restraints—specifically, trachea and carotid artery </w:t>
      </w:r>
      <w:proofErr w:type="gramStart"/>
      <w:r>
        <w:t>holds</w:t>
      </w:r>
      <w:proofErr w:type="gramEnd"/>
      <w:r>
        <w:t>—on two individuals while on duty. Both incidents occurred at McDonald’s restaurants, and in each case, the officer initiated physical contact and applied prohibited neck restraints, despite the individuals not posing an immediate threat or actively resisting arrest. The officer was aware that such holds were forbidden by department policy, and in one instance, had been warned about his conduct just days before repeating it.</w:t>
      </w:r>
    </w:p>
    <w:p w14:paraId="6C87E484" w14:textId="77777777" w:rsidR="00B500A8" w:rsidRDefault="00B500A8" w:rsidP="00B500A8">
      <w:pPr>
        <w:spacing w:after="0" w:line="240" w:lineRule="auto"/>
      </w:pPr>
    </w:p>
    <w:p w14:paraId="34568321" w14:textId="77777777" w:rsidR="00B500A8" w:rsidRDefault="00B500A8" w:rsidP="00B500A8">
      <w:pPr>
        <w:spacing w:after="0" w:line="240" w:lineRule="auto"/>
      </w:pPr>
      <w:r>
        <w:t xml:space="preserve">A grand jury indicted the officer on five charges related to these events. Before trial, three charges were dropped. The United States District Court for the District of Columbia conducted a jury trial, after which the officer was convicted on two counts of depriving individuals of their rights under color of law, in violation of 18 U.S.C. § 242. The jury found that the officer acted willfully, </w:t>
      </w:r>
      <w:proofErr w:type="gramStart"/>
      <w:r>
        <w:t>used</w:t>
      </w:r>
      <w:proofErr w:type="gramEnd"/>
      <w:r>
        <w:t xml:space="preserve"> excessive force, and caused bodily injury. The court sentenced him to concurrent six-month prison terms and supervised release. The officer moved for acquittal and a new trial, arguing, among other things, that the jury instructions on willfulness were improper and that the evidence was insufficient. The District Court denied these motions.</w:t>
      </w:r>
    </w:p>
    <w:p w14:paraId="75F16778" w14:textId="77777777" w:rsidR="00B500A8" w:rsidRDefault="00B500A8" w:rsidP="00B500A8">
      <w:pPr>
        <w:spacing w:after="0" w:line="240" w:lineRule="auto"/>
      </w:pPr>
    </w:p>
    <w:p w14:paraId="7EFD2673" w14:textId="491B68AB" w:rsidR="00EB0EF1" w:rsidRDefault="00B500A8" w:rsidP="00B500A8">
      <w:pPr>
        <w:spacing w:after="0" w:line="240" w:lineRule="auto"/>
      </w:pPr>
      <w:r>
        <w:t xml:space="preserve">On appeal, the United States Court of Appeals for the District of Columbia Circuit reviewed the officer’s challenges. The court held that the jury instructions on willfulness were not plainly erroneous, as precedent allows conviction under § 242 for conduct done in reckless disregard of constitutional rights. The court also found sufficient evidence </w:t>
      </w:r>
      <w:proofErr w:type="gramStart"/>
      <w:r>
        <w:t>supported</w:t>
      </w:r>
      <w:proofErr w:type="gramEnd"/>
      <w:r>
        <w:t xml:space="preserve"> the jury’s findings of excessive force and willfulness, and that no impermissible amendment or variance of the indictment occurred. The appellate court affirmed the District Court’s evidentiary rulings and the officer’s convictions.</w:t>
      </w:r>
    </w:p>
    <w:p w14:paraId="022E9924" w14:textId="77777777" w:rsidR="003A2A00" w:rsidRDefault="003A2A00" w:rsidP="00B500A8">
      <w:pPr>
        <w:spacing w:after="0" w:line="240" w:lineRule="auto"/>
      </w:pPr>
    </w:p>
    <w:p w14:paraId="645CF76E" w14:textId="47EEBA82" w:rsidR="003A2A00" w:rsidRDefault="003A2A00" w:rsidP="00B500A8">
      <w:pPr>
        <w:spacing w:after="0" w:line="240" w:lineRule="auto"/>
      </w:pPr>
      <w:hyperlink r:id="rId11" w:history="1">
        <w:r w:rsidRPr="005F78D8">
          <w:rPr>
            <w:rStyle w:val="Hyperlink"/>
          </w:rPr>
          <w:t>https://cases.justia.com/federal/appellate-courts/cadc/24-3033/24-3033-2025-10-10.pdf</w:t>
        </w:r>
      </w:hyperlink>
    </w:p>
    <w:p w14:paraId="6A06B8CB" w14:textId="77777777" w:rsidR="003A2A00" w:rsidRDefault="003A2A00" w:rsidP="00B500A8">
      <w:pPr>
        <w:spacing w:after="0" w:line="240" w:lineRule="auto"/>
      </w:pPr>
    </w:p>
    <w:p w14:paraId="430B9EE4" w14:textId="77777777" w:rsidR="003A2A00" w:rsidRDefault="003A2A00" w:rsidP="00B500A8">
      <w:pPr>
        <w:spacing w:after="0" w:line="240" w:lineRule="auto"/>
      </w:pPr>
    </w:p>
    <w:p w14:paraId="28F5C974" w14:textId="77777777" w:rsidR="007C1524" w:rsidRDefault="007C1524" w:rsidP="00B500A8">
      <w:pPr>
        <w:spacing w:after="0" w:line="240" w:lineRule="auto"/>
      </w:pPr>
    </w:p>
    <w:p w14:paraId="0CE07F90" w14:textId="7DF990E1" w:rsidR="003A2A00" w:rsidRDefault="003A2A00" w:rsidP="00082066"/>
    <w:sectPr w:rsidR="003A2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DA"/>
    <w:rsid w:val="000572F0"/>
    <w:rsid w:val="00082066"/>
    <w:rsid w:val="003148E2"/>
    <w:rsid w:val="003A2A00"/>
    <w:rsid w:val="00524C24"/>
    <w:rsid w:val="005D0F50"/>
    <w:rsid w:val="007C1524"/>
    <w:rsid w:val="00AB1F80"/>
    <w:rsid w:val="00B500A8"/>
    <w:rsid w:val="00B80E4D"/>
    <w:rsid w:val="00BD658C"/>
    <w:rsid w:val="00C12DDB"/>
    <w:rsid w:val="00CB5BDA"/>
    <w:rsid w:val="00CF3332"/>
    <w:rsid w:val="00D813EC"/>
    <w:rsid w:val="00EB0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0A69D"/>
  <w15:chartTrackingRefBased/>
  <w15:docId w15:val="{A181C4A6-EE6B-487A-AD44-B304B875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BDA"/>
    <w:rPr>
      <w:rFonts w:eastAsiaTheme="majorEastAsia" w:cstheme="majorBidi"/>
      <w:color w:val="272727" w:themeColor="text1" w:themeTint="D8"/>
    </w:rPr>
  </w:style>
  <w:style w:type="paragraph" w:styleId="Title">
    <w:name w:val="Title"/>
    <w:basedOn w:val="Normal"/>
    <w:next w:val="Normal"/>
    <w:link w:val="TitleChar"/>
    <w:uiPriority w:val="10"/>
    <w:qFormat/>
    <w:rsid w:val="00CB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BDA"/>
    <w:pPr>
      <w:spacing w:before="160"/>
      <w:jc w:val="center"/>
    </w:pPr>
    <w:rPr>
      <w:i/>
      <w:iCs/>
      <w:color w:val="404040" w:themeColor="text1" w:themeTint="BF"/>
    </w:rPr>
  </w:style>
  <w:style w:type="character" w:customStyle="1" w:styleId="QuoteChar">
    <w:name w:val="Quote Char"/>
    <w:basedOn w:val="DefaultParagraphFont"/>
    <w:link w:val="Quote"/>
    <w:uiPriority w:val="29"/>
    <w:rsid w:val="00CB5BDA"/>
    <w:rPr>
      <w:i/>
      <w:iCs/>
      <w:color w:val="404040" w:themeColor="text1" w:themeTint="BF"/>
    </w:rPr>
  </w:style>
  <w:style w:type="paragraph" w:styleId="ListParagraph">
    <w:name w:val="List Paragraph"/>
    <w:basedOn w:val="Normal"/>
    <w:uiPriority w:val="34"/>
    <w:qFormat/>
    <w:rsid w:val="00CB5BDA"/>
    <w:pPr>
      <w:ind w:left="720"/>
      <w:contextualSpacing/>
    </w:pPr>
  </w:style>
  <w:style w:type="character" w:styleId="IntenseEmphasis">
    <w:name w:val="Intense Emphasis"/>
    <w:basedOn w:val="DefaultParagraphFont"/>
    <w:uiPriority w:val="21"/>
    <w:qFormat/>
    <w:rsid w:val="00CB5BDA"/>
    <w:rPr>
      <w:i/>
      <w:iCs/>
      <w:color w:val="0F4761" w:themeColor="accent1" w:themeShade="BF"/>
    </w:rPr>
  </w:style>
  <w:style w:type="paragraph" w:styleId="IntenseQuote">
    <w:name w:val="Intense Quote"/>
    <w:basedOn w:val="Normal"/>
    <w:next w:val="Normal"/>
    <w:link w:val="IntenseQuoteChar"/>
    <w:uiPriority w:val="30"/>
    <w:qFormat/>
    <w:rsid w:val="00CB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BDA"/>
    <w:rPr>
      <w:i/>
      <w:iCs/>
      <w:color w:val="0F4761" w:themeColor="accent1" w:themeShade="BF"/>
    </w:rPr>
  </w:style>
  <w:style w:type="character" w:styleId="IntenseReference">
    <w:name w:val="Intense Reference"/>
    <w:basedOn w:val="DefaultParagraphFont"/>
    <w:uiPriority w:val="32"/>
    <w:qFormat/>
    <w:rsid w:val="00CB5BDA"/>
    <w:rPr>
      <w:b/>
      <w:bCs/>
      <w:smallCaps/>
      <w:color w:val="0F4761" w:themeColor="accent1" w:themeShade="BF"/>
      <w:spacing w:val="5"/>
    </w:rPr>
  </w:style>
  <w:style w:type="character" w:styleId="Hyperlink">
    <w:name w:val="Hyperlink"/>
    <w:basedOn w:val="DefaultParagraphFont"/>
    <w:uiPriority w:val="99"/>
    <w:unhideWhenUsed/>
    <w:rsid w:val="00D813EC"/>
    <w:rPr>
      <w:color w:val="467886" w:themeColor="hyperlink"/>
      <w:u w:val="single"/>
    </w:rPr>
  </w:style>
  <w:style w:type="character" w:styleId="UnresolvedMention">
    <w:name w:val="Unresolved Mention"/>
    <w:basedOn w:val="DefaultParagraphFont"/>
    <w:uiPriority w:val="99"/>
    <w:semiHidden/>
    <w:unhideWhenUsed/>
    <w:rsid w:val="00D81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4/23-1547/23-1547-2025-10-15.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ases.justia.com/kansas/supreme-court/2025-126350-0.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1/24-10014/24-10014-2025-10-16.pdf" TargetMode="External"/><Relationship Id="rId11" Type="http://schemas.openxmlformats.org/officeDocument/2006/relationships/hyperlink" Target="https://cases.justia.com/federal/appellate-courts/cadc/24-3033/24-3033-2025-10-10.pdf" TargetMode="External"/><Relationship Id="rId5" Type="http://schemas.openxmlformats.org/officeDocument/2006/relationships/hyperlink" Target="https://cases.justia.com/federal/appellate-courts/ca10/23-6210/23-6210-2025-10-14.pdf" TargetMode="External"/><Relationship Id="rId10" Type="http://schemas.openxmlformats.org/officeDocument/2006/relationships/hyperlink" Target="https://cases.justia.com/federal/appellate-courts/ca11/23-13249/23-13249-2025-10-14.pdf" TargetMode="External"/><Relationship Id="rId4" Type="http://schemas.openxmlformats.org/officeDocument/2006/relationships/hyperlink" Target="https://cases.justia.com/federal/appellate-courts/ca4/24-1117/24-1117-2025-10-15.pdf" TargetMode="External"/><Relationship Id="rId9" Type="http://schemas.openxmlformats.org/officeDocument/2006/relationships/hyperlink" Target="https://cases.justia.com/federal/appellate-courts/ca6/24-6028/24-6028-2025-10-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2683</Words>
  <Characters>15362</Characters>
  <Application>Microsoft Office Word</Application>
  <DocSecurity>0</DocSecurity>
  <Lines>307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10</cp:revision>
  <dcterms:created xsi:type="dcterms:W3CDTF">2025-10-19T13:38:00Z</dcterms:created>
  <dcterms:modified xsi:type="dcterms:W3CDTF">2025-10-19T15:00:00Z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9a4c3f10-7513-4e23-b469-fe10569a87a9</vt:lpwstr>
  </property>
</Properties>
</file>