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CDBF3" w14:textId="5D79225C" w:rsidR="00D41EC4" w:rsidRDefault="0073043F">
      <w:r>
        <w:t>CASES 24OCT2025</w:t>
      </w:r>
    </w:p>
    <w:p w14:paraId="06C08A10" w14:textId="77777777" w:rsidR="0073043F" w:rsidRDefault="0073043F"/>
    <w:p w14:paraId="0312A31D" w14:textId="77777777" w:rsidR="00283063" w:rsidRDefault="00283063" w:rsidP="00283063">
      <w:r>
        <w:t>United States v. Long</w:t>
      </w:r>
    </w:p>
    <w:p w14:paraId="7D08493A" w14:textId="77777777" w:rsidR="00283063" w:rsidRDefault="00283063" w:rsidP="00283063"/>
    <w:p w14:paraId="41EE3108" w14:textId="77777777" w:rsidR="00283063" w:rsidRDefault="00283063" w:rsidP="00283063">
      <w:r>
        <w:t>Court: U.S. Court of Appeals for the Sixth Circuit</w:t>
      </w:r>
    </w:p>
    <w:p w14:paraId="69DBCD28" w14:textId="77777777" w:rsidR="00283063" w:rsidRDefault="00283063" w:rsidP="00283063"/>
    <w:p w14:paraId="305A5BC9" w14:textId="77777777" w:rsidR="00283063" w:rsidRDefault="00283063" w:rsidP="00283063">
      <w:r>
        <w:t>Docket: 24-3377</w:t>
      </w:r>
    </w:p>
    <w:p w14:paraId="15800936" w14:textId="77777777" w:rsidR="00283063" w:rsidRDefault="00283063" w:rsidP="00283063"/>
    <w:p w14:paraId="6BEE1243" w14:textId="77777777" w:rsidR="00283063" w:rsidRDefault="00283063" w:rsidP="00283063">
      <w:r>
        <w:t>Opinion Date: October 17, 2025</w:t>
      </w:r>
    </w:p>
    <w:p w14:paraId="273F96A4" w14:textId="77777777" w:rsidR="00283063" w:rsidRDefault="00283063" w:rsidP="00283063"/>
    <w:p w14:paraId="4D82E69F" w14:textId="77777777" w:rsidR="00283063" w:rsidRDefault="00283063" w:rsidP="00283063">
      <w:r>
        <w:t xml:space="preserve">Judge: Chad </w:t>
      </w:r>
      <w:proofErr w:type="spellStart"/>
      <w:r>
        <w:t>Readler</w:t>
      </w:r>
      <w:proofErr w:type="spellEnd"/>
    </w:p>
    <w:p w14:paraId="31D641D2" w14:textId="77777777" w:rsidR="00283063" w:rsidRDefault="00283063" w:rsidP="00283063"/>
    <w:p w14:paraId="03A7E9E3" w14:textId="77777777" w:rsidR="00283063" w:rsidRDefault="00283063" w:rsidP="00283063">
      <w:r>
        <w:t>Areas of Law: Constitutional Law, Criminal Law</w:t>
      </w:r>
    </w:p>
    <w:p w14:paraId="5BC45FB6" w14:textId="77777777" w:rsidR="00283063" w:rsidRDefault="00283063" w:rsidP="00283063"/>
    <w:p w14:paraId="1798B671" w14:textId="77777777" w:rsidR="00283063" w:rsidRDefault="00283063" w:rsidP="00283063">
      <w:r>
        <w:t>Officers investigating a drug trafficking ring observed Devin Long engaging in several suspected drug transactions, including controlled buys involving other individuals. Surveillance revealed Long’s repeated visits to known stash houses and his own registered residence, where officers witnessed activity consistent with drug dealing. Based on these observations and information from a confidential source, officers obtained a warrant to search Long’s home. The search uncovered illegal drugs, firearms, and related paraphernalia, leading to Long’s indictment on federal drug and firearm charges.</w:t>
      </w:r>
    </w:p>
    <w:p w14:paraId="589BC10D" w14:textId="77777777" w:rsidR="00283063" w:rsidRDefault="00283063" w:rsidP="00283063"/>
    <w:p w14:paraId="6A49EBCF" w14:textId="77777777" w:rsidR="00283063" w:rsidRDefault="00283063" w:rsidP="00283063">
      <w:r>
        <w:t>The United States District Court for the Northern District of Ohio reviewed Long’s motion to suppress the evidence seized from his home, which argued that the affidavit supporting the search warrant failed to establish a sufficient nexus between his alleged criminal activity and the residence. The district court denied the motion, finding that the affidavit provided probable cause for the search. Long subsequently pleaded guilty to four charges but preserved his right to appeal the suppression ruling.</w:t>
      </w:r>
    </w:p>
    <w:p w14:paraId="30E8471B" w14:textId="77777777" w:rsidR="00283063" w:rsidRDefault="00283063" w:rsidP="00283063"/>
    <w:p w14:paraId="13AF1635" w14:textId="59FCA7A8" w:rsidR="0073043F" w:rsidRDefault="00283063" w:rsidP="00283063">
      <w:r>
        <w:lastRenderedPageBreak/>
        <w:t>On appeal, the United States Court of Appeals for the Sixth Circuit considered whether the search warrant for Long’s home was supported by probable cause. Applying a deferential standard to the issuing magistrate judge’s determination, the Sixth Circuit held that the affidavit established both that Long’s home was his residence and that he was engaged in ongoing drug trafficking. The court further found that even a single drug transaction observed outside Long’s home provided an independent basis for probable cause. The court affirmed the district court’s denial of Long’s motion to suppress, concluding that the warrant was properly issued under the Fourth Amendment.</w:t>
      </w:r>
    </w:p>
    <w:p w14:paraId="647E2A54" w14:textId="0D9B1ACA" w:rsidR="00283063" w:rsidRDefault="00283063" w:rsidP="00283063">
      <w:hyperlink r:id="rId4" w:history="1">
        <w:r w:rsidRPr="00D36B96">
          <w:rPr>
            <w:rStyle w:val="Hyperlink"/>
          </w:rPr>
          <w:t>https://cases.justia.com/federal/appellate-courts/ca6/24-3377/24-3377-2025-10-17.pdf</w:t>
        </w:r>
      </w:hyperlink>
      <w:r>
        <w:t xml:space="preserve"> </w:t>
      </w:r>
    </w:p>
    <w:p w14:paraId="1F136E8E" w14:textId="77777777" w:rsidR="00283063" w:rsidRDefault="00283063" w:rsidP="00283063"/>
    <w:p w14:paraId="23F61F0B" w14:textId="77777777" w:rsidR="00283063" w:rsidRDefault="00283063" w:rsidP="00283063"/>
    <w:p w14:paraId="3411A41E" w14:textId="77777777" w:rsidR="00283063" w:rsidRDefault="00283063" w:rsidP="00283063">
      <w:r>
        <w:t xml:space="preserve">Conlon v. </w:t>
      </w:r>
      <w:proofErr w:type="spellStart"/>
      <w:r>
        <w:t>Scaltreto</w:t>
      </w:r>
      <w:proofErr w:type="spellEnd"/>
    </w:p>
    <w:p w14:paraId="23D1D271" w14:textId="77777777" w:rsidR="00283063" w:rsidRDefault="00283063" w:rsidP="00283063"/>
    <w:p w14:paraId="4382EDBA" w14:textId="77777777" w:rsidR="00283063" w:rsidRDefault="00283063" w:rsidP="00283063">
      <w:r>
        <w:t>Court: U.S. Court of Appeals for the First Circuit</w:t>
      </w:r>
    </w:p>
    <w:p w14:paraId="10E6C6A6" w14:textId="77777777" w:rsidR="00283063" w:rsidRDefault="00283063" w:rsidP="00283063"/>
    <w:p w14:paraId="005F8C20" w14:textId="77777777" w:rsidR="00283063" w:rsidRDefault="00283063" w:rsidP="00283063">
      <w:r>
        <w:t>Docket: 24-1634</w:t>
      </w:r>
    </w:p>
    <w:p w14:paraId="6C8F557B" w14:textId="77777777" w:rsidR="00283063" w:rsidRDefault="00283063" w:rsidP="00283063"/>
    <w:p w14:paraId="51CF2FD1" w14:textId="77777777" w:rsidR="00283063" w:rsidRDefault="00283063" w:rsidP="00283063">
      <w:r>
        <w:t>Opinion Date: October 22, 2025</w:t>
      </w:r>
    </w:p>
    <w:p w14:paraId="146A4EF4" w14:textId="77777777" w:rsidR="00283063" w:rsidRDefault="00283063" w:rsidP="00283063"/>
    <w:p w14:paraId="4D639AF1" w14:textId="77777777" w:rsidR="00283063" w:rsidRDefault="00283063" w:rsidP="00283063">
      <w:r>
        <w:t>Areas of Law: Civil Rights</w:t>
      </w:r>
    </w:p>
    <w:p w14:paraId="013BE127" w14:textId="77777777" w:rsidR="00283063" w:rsidRDefault="00283063" w:rsidP="00283063"/>
    <w:p w14:paraId="71394139" w14:textId="77777777" w:rsidR="00283063" w:rsidRDefault="00283063" w:rsidP="00283063">
      <w:r>
        <w:t>A man experiencing a mental health crisis was fatally shot by police officers in his Newton, Massachusetts apartment building after a report of an attempted armed robbery at a nearby candy store. When officers arrived, the man, holding a kitchen knife, fled into his apartment building. Officers pursued him to the third floor, where he threatened self-harm and engaged in erratic behavior. Police attempted to negotiate with him for about twenty minutes, eventually convincing him to drop the knife and a fire extinguisher. As officers prepared to incapacitate him with a beanbag shotgun, the weapon malfunctioned. Some officers reported that the man then picked up the knife and moved toward them, prompting two officers to fire their sidearms, resulting in his death.</w:t>
      </w:r>
    </w:p>
    <w:p w14:paraId="3C88206B" w14:textId="77777777" w:rsidR="00283063" w:rsidRDefault="00283063" w:rsidP="00283063"/>
    <w:p w14:paraId="4D507FDD" w14:textId="77777777" w:rsidR="00283063" w:rsidRDefault="00283063" w:rsidP="00283063">
      <w:r>
        <w:lastRenderedPageBreak/>
        <w:t>The decedent’s parents, acting as representatives of his estate, filed suit in the United States District Court for the District of Massachusetts against the City of Newton and several police officers. They alleged excessive force under 42 U.S.C. § 1983, violations of the Americans with Disabilities Act (ADA) and the Rehabilitation Act, and various state law claims. The district court dismissed all claims, finding the officers were entitled to qualified immunity and that the plaintiffs had not sufficiently pleaded municipal liability or viable claims under the ADA or state law.</w:t>
      </w:r>
    </w:p>
    <w:p w14:paraId="244616B5" w14:textId="77777777" w:rsidR="00283063" w:rsidRDefault="00283063" w:rsidP="00283063"/>
    <w:p w14:paraId="55FD97FF" w14:textId="2FE1D3EE" w:rsidR="00283063" w:rsidRDefault="00283063" w:rsidP="00283063">
      <w:r>
        <w:t>On appeal, the United States Court of Appeals for the First Circuit reviewed the district court’s dismissal de novo. The First Circuit affirmed the dismissal of all claims except the § 1983 excessive force claim against the officers related to the fatal shooting. The court held that, at the pleading stage, there were disputed material facts regarding whether the decedent was armed and posed an immediate threat when lethal force was used. The judgment was vacated as to this claim and remanded for further proceedings; all other dismissals were affirmed.</w:t>
      </w:r>
    </w:p>
    <w:p w14:paraId="4E5D2626" w14:textId="045BE037" w:rsidR="00283063" w:rsidRDefault="00283063" w:rsidP="00283063">
      <w:hyperlink r:id="rId5" w:history="1">
        <w:r w:rsidRPr="00D36B96">
          <w:rPr>
            <w:rStyle w:val="Hyperlink"/>
          </w:rPr>
          <w:t>https://cases.justia.com/federal/appellate-courts/ca1/24-1634/24-1634-2025-10-22.pdf</w:t>
        </w:r>
      </w:hyperlink>
    </w:p>
    <w:p w14:paraId="50EDFAF8" w14:textId="77777777" w:rsidR="00283063" w:rsidRDefault="00283063" w:rsidP="00283063"/>
    <w:p w14:paraId="4AAB6108" w14:textId="77777777" w:rsidR="008626E7" w:rsidRDefault="008626E7" w:rsidP="00283063"/>
    <w:p w14:paraId="4D4115E3" w14:textId="77777777" w:rsidR="008626E7" w:rsidRDefault="008626E7" w:rsidP="008626E7">
      <w:proofErr w:type="spellStart"/>
      <w:r>
        <w:t>Eastep</w:t>
      </w:r>
      <w:proofErr w:type="spellEnd"/>
      <w:r>
        <w:t xml:space="preserve"> v. City of Nashville</w:t>
      </w:r>
    </w:p>
    <w:p w14:paraId="54F17B1B" w14:textId="77777777" w:rsidR="008626E7" w:rsidRDefault="008626E7" w:rsidP="008626E7"/>
    <w:p w14:paraId="4F0CAC40" w14:textId="77777777" w:rsidR="008626E7" w:rsidRDefault="008626E7" w:rsidP="008626E7">
      <w:r>
        <w:t>Court: U.S. Court of Appeals for the Sixth Circuit</w:t>
      </w:r>
    </w:p>
    <w:p w14:paraId="3438ED3D" w14:textId="77777777" w:rsidR="008626E7" w:rsidRDefault="008626E7" w:rsidP="008626E7"/>
    <w:p w14:paraId="06F21CC6" w14:textId="77777777" w:rsidR="008626E7" w:rsidRDefault="008626E7" w:rsidP="008626E7">
      <w:r>
        <w:t>Docket: 24-5319</w:t>
      </w:r>
    </w:p>
    <w:p w14:paraId="114682B8" w14:textId="77777777" w:rsidR="008626E7" w:rsidRDefault="008626E7" w:rsidP="008626E7"/>
    <w:p w14:paraId="59117574" w14:textId="77777777" w:rsidR="008626E7" w:rsidRDefault="008626E7" w:rsidP="008626E7">
      <w:r>
        <w:t>Opinion Date: October 17, 2025</w:t>
      </w:r>
    </w:p>
    <w:p w14:paraId="0DD3CE37" w14:textId="77777777" w:rsidR="008626E7" w:rsidRDefault="008626E7" w:rsidP="008626E7"/>
    <w:p w14:paraId="119ADD1D" w14:textId="77777777" w:rsidR="008626E7" w:rsidRDefault="008626E7" w:rsidP="008626E7">
      <w:r>
        <w:t>Judge: Stephanie Dawkins Davis</w:t>
      </w:r>
    </w:p>
    <w:p w14:paraId="7D215FCC" w14:textId="77777777" w:rsidR="008626E7" w:rsidRDefault="008626E7" w:rsidP="008626E7"/>
    <w:p w14:paraId="04651325" w14:textId="77777777" w:rsidR="008626E7" w:rsidRDefault="008626E7" w:rsidP="008626E7">
      <w:r>
        <w:t>Areas of Law: Civil Rights</w:t>
      </w:r>
    </w:p>
    <w:p w14:paraId="349C13A3" w14:textId="77777777" w:rsidR="008626E7" w:rsidRDefault="008626E7" w:rsidP="008626E7"/>
    <w:p w14:paraId="62AA1999" w14:textId="77777777" w:rsidR="008626E7" w:rsidRDefault="008626E7" w:rsidP="008626E7">
      <w:r>
        <w:lastRenderedPageBreak/>
        <w:t>A man walking along the shoulder of a Nashville interstate was approached by a state trooper, who intended to pat him down and offer a ride. During the encounter, the man produced a box cutter, failed to comply with repeated police commands, and a standoff ensued involving multiple officers from different agencies. After about thirty-five minutes, the man took two quick steps toward the officers, pulled an object from his pocket, and pointed it at them in a manner resembling a firearm. In response, nine officers fired approximately thirty-three shots, twelve of which struck and killed him. Notably, after the man had fallen to the ground and appeared incapacitated, one officer fired two additional shots.</w:t>
      </w:r>
    </w:p>
    <w:p w14:paraId="32A4E411" w14:textId="77777777" w:rsidR="008626E7" w:rsidRDefault="008626E7" w:rsidP="008626E7"/>
    <w:p w14:paraId="7ACE1FB6" w14:textId="77777777" w:rsidR="008626E7" w:rsidRDefault="008626E7" w:rsidP="008626E7">
      <w:r>
        <w:t>The decedent’s wife filed suit in the United States District Court for the Middle District of Tennessee against the involved cities and officers, alleging excessive force in violation of the Fourth Amendment. The officers moved to dismiss the complaint on the basis of qualified immunity. The district court denied the motions, finding that the complaint plausibly alleged a constitutional violation and that the right at issue was clearly established. The court also determined that video evidence did not blatantly contradict the plaintiff’s allegations regarding the officers’ conduct after the man was incapacitated.</w:t>
      </w:r>
    </w:p>
    <w:p w14:paraId="50A38A85" w14:textId="77777777" w:rsidR="008626E7" w:rsidRDefault="008626E7" w:rsidP="008626E7"/>
    <w:p w14:paraId="0A913D90" w14:textId="2D05DE78" w:rsidR="008626E7" w:rsidRDefault="008626E7" w:rsidP="008626E7">
      <w:r>
        <w:t>On appeal, the United States Court of Appeals for the Sixth Circuit reviewed the denial of qualified immunity de novo. The court held that eight of the nine officers were entitled to qualified immunity because their initial use of deadly force was objectively reasonable under the circumstances. However, the court found that the officer who fired two shots after the man was incapacitated was not entitled to qualified immunity at this stage, as the complaint plausibly alleged a violation of clearly established law prohibiting the use of force against a neutralized suspect. The court affirmed in part and reversed in part.</w:t>
      </w:r>
    </w:p>
    <w:p w14:paraId="56486756" w14:textId="6E7E8118" w:rsidR="008626E7" w:rsidRDefault="008626E7" w:rsidP="008626E7">
      <w:hyperlink r:id="rId6" w:history="1">
        <w:r w:rsidRPr="00D36B96">
          <w:rPr>
            <w:rStyle w:val="Hyperlink"/>
          </w:rPr>
          <w:t>https://cases.justia.com/federal/appellate-courts/ca6/24-5319/24-5319-2025-10-17.pdf</w:t>
        </w:r>
      </w:hyperlink>
      <w:r>
        <w:t xml:space="preserve"> </w:t>
      </w:r>
    </w:p>
    <w:p w14:paraId="525B53CA" w14:textId="77777777" w:rsidR="008626E7" w:rsidRDefault="008626E7" w:rsidP="008626E7"/>
    <w:p w14:paraId="00749478" w14:textId="77777777" w:rsidR="008626E7" w:rsidRDefault="008626E7" w:rsidP="008626E7">
      <w:r>
        <w:t>Mims v City of Chicago</w:t>
      </w:r>
    </w:p>
    <w:p w14:paraId="137074DF" w14:textId="77777777" w:rsidR="008626E7" w:rsidRDefault="008626E7" w:rsidP="008626E7"/>
    <w:p w14:paraId="5C40481B" w14:textId="77777777" w:rsidR="008626E7" w:rsidRDefault="008626E7" w:rsidP="008626E7">
      <w:r>
        <w:t>Court: U.S. Court of Appeals for the Seventh Circuit</w:t>
      </w:r>
    </w:p>
    <w:p w14:paraId="291B28E3" w14:textId="77777777" w:rsidR="008626E7" w:rsidRDefault="008626E7" w:rsidP="008626E7"/>
    <w:p w14:paraId="11FC4C02" w14:textId="77777777" w:rsidR="008626E7" w:rsidRDefault="008626E7" w:rsidP="008626E7">
      <w:r>
        <w:t>Docket: 24-1564</w:t>
      </w:r>
    </w:p>
    <w:p w14:paraId="16FC9D67" w14:textId="77777777" w:rsidR="008626E7" w:rsidRDefault="008626E7" w:rsidP="008626E7"/>
    <w:p w14:paraId="742F467E" w14:textId="77777777" w:rsidR="008626E7" w:rsidRDefault="008626E7" w:rsidP="008626E7">
      <w:r>
        <w:t>Opinion Date: October 21, 2025</w:t>
      </w:r>
    </w:p>
    <w:p w14:paraId="54B033F4" w14:textId="77777777" w:rsidR="008626E7" w:rsidRDefault="008626E7" w:rsidP="008626E7"/>
    <w:p w14:paraId="06C5EBF0" w14:textId="77777777" w:rsidR="008626E7" w:rsidRDefault="008626E7" w:rsidP="008626E7">
      <w:r>
        <w:t>Judge: Michael Scudder</w:t>
      </w:r>
    </w:p>
    <w:p w14:paraId="71F916EC" w14:textId="77777777" w:rsidR="008626E7" w:rsidRDefault="008626E7" w:rsidP="008626E7"/>
    <w:p w14:paraId="7BF15989" w14:textId="77777777" w:rsidR="008626E7" w:rsidRDefault="008626E7" w:rsidP="008626E7">
      <w:r>
        <w:t>Areas of Law: Civil Rights</w:t>
      </w:r>
    </w:p>
    <w:p w14:paraId="7504DC12" w14:textId="77777777" w:rsidR="008626E7" w:rsidRDefault="008626E7" w:rsidP="008626E7"/>
    <w:p w14:paraId="567B8FC1" w14:textId="77777777" w:rsidR="008626E7" w:rsidRDefault="008626E7" w:rsidP="008626E7">
      <w:r>
        <w:t>Bernard Mims spent a decade in prison after being convicted of murder, a conviction later vacated when the State’s Attorney’s Office lost confidence in the case for reasons unrelated to the claim at issue here. Mims then brought a civil rights lawsuit under 42 U.S.C. § 1983 against the City of Chicago and several police detectives. He alleged, among other things, that two detectives violated his due process rights by failing to disclose an audio recording of a conversation between two individuals, one of whom had previously claimed involvement in the murder. Mims argued that this recording was exculpatory because it implicated someone else in the crime.</w:t>
      </w:r>
    </w:p>
    <w:p w14:paraId="5D46CAA2" w14:textId="77777777" w:rsidR="008626E7" w:rsidRDefault="008626E7" w:rsidP="008626E7"/>
    <w:p w14:paraId="7FD89BCA" w14:textId="77777777" w:rsidR="008626E7" w:rsidRDefault="008626E7" w:rsidP="008626E7">
      <w:r>
        <w:t>The United States District Court for the Northern District of Illinois granted summary judgment to the defendants on all claims. As relevant to this appeal, the district court found that Mims had not produced evidence showing that the detectives concealed or withheld the recording from the prosecutor. The court also concluded that the recording was not material under Brady v. Maryland, and, alternatively, that the detectives were entitled to qualified immunity.</w:t>
      </w:r>
    </w:p>
    <w:p w14:paraId="33DD86A6" w14:textId="77777777" w:rsidR="008626E7" w:rsidRDefault="008626E7" w:rsidP="008626E7"/>
    <w:p w14:paraId="65CA4E0E" w14:textId="5483684B" w:rsidR="008626E7" w:rsidRDefault="008626E7" w:rsidP="008626E7">
      <w:r>
        <w:t>The United States Court of Appeals for the Seventh Circuit reviewed the district court’s decision de novo. The appellate court held that Mims failed to present evidence that the detectives intentionally or recklessly concealed the recording from the prosecution. The court emphasized that the prosecutor had knowledge of and access to the recordings through the court file and that the duty to disclose exculpatory evidence primarily rests with the prosecution. Because Mims could not show suppression by the detectives, the Seventh Circuit affirmed the district court’s grant of summary judgment in favor of the defendants.</w:t>
      </w:r>
    </w:p>
    <w:p w14:paraId="7E0C76B4" w14:textId="143F592F" w:rsidR="008626E7" w:rsidRDefault="008626E7" w:rsidP="008626E7">
      <w:hyperlink r:id="rId7" w:history="1">
        <w:r w:rsidRPr="00D36B96">
          <w:rPr>
            <w:rStyle w:val="Hyperlink"/>
          </w:rPr>
          <w:t>https://cases.justia.com/federal/appellate-courts/ca7/24-1564/24-1564-2025-10-21.pdf</w:t>
        </w:r>
      </w:hyperlink>
      <w:r>
        <w:t xml:space="preserve"> </w:t>
      </w:r>
    </w:p>
    <w:p w14:paraId="3B051882" w14:textId="77777777" w:rsidR="00F437FE" w:rsidRDefault="00F437FE" w:rsidP="00F437FE">
      <w:r>
        <w:lastRenderedPageBreak/>
        <w:t>State v. Yeargin-Charles</w:t>
      </w:r>
    </w:p>
    <w:p w14:paraId="4D89FFE1" w14:textId="77777777" w:rsidR="00F437FE" w:rsidRDefault="00F437FE" w:rsidP="00F437FE"/>
    <w:p w14:paraId="422A2D9C" w14:textId="77777777" w:rsidR="00F437FE" w:rsidRDefault="00F437FE" w:rsidP="00F437FE">
      <w:r>
        <w:t>Court: Kansas Supreme Court</w:t>
      </w:r>
    </w:p>
    <w:p w14:paraId="67248F76" w14:textId="77777777" w:rsidR="00F437FE" w:rsidRDefault="00F437FE" w:rsidP="00F437FE"/>
    <w:p w14:paraId="00A0A140" w14:textId="77777777" w:rsidR="00F437FE" w:rsidRDefault="00F437FE" w:rsidP="00F437FE">
      <w:r>
        <w:t>Docket: 125754</w:t>
      </w:r>
    </w:p>
    <w:p w14:paraId="2D56BFA3" w14:textId="77777777" w:rsidR="00F437FE" w:rsidRDefault="00F437FE" w:rsidP="00F437FE"/>
    <w:p w14:paraId="74028A35" w14:textId="77777777" w:rsidR="00F437FE" w:rsidRDefault="00F437FE" w:rsidP="00F437FE">
      <w:r>
        <w:t>Opinion Date: October 17, 2025</w:t>
      </w:r>
    </w:p>
    <w:p w14:paraId="207D0F3A" w14:textId="77777777" w:rsidR="00F437FE" w:rsidRDefault="00F437FE" w:rsidP="00F437FE"/>
    <w:p w14:paraId="78BDD898" w14:textId="77777777" w:rsidR="00F437FE" w:rsidRDefault="00F437FE" w:rsidP="00F437FE">
      <w:r>
        <w:t>Judge: Melissa Standridge</w:t>
      </w:r>
    </w:p>
    <w:p w14:paraId="262B25B9" w14:textId="77777777" w:rsidR="00F437FE" w:rsidRDefault="00F437FE" w:rsidP="00F437FE"/>
    <w:p w14:paraId="6052F043" w14:textId="77777777" w:rsidR="00F437FE" w:rsidRDefault="00F437FE" w:rsidP="00F437FE">
      <w:r>
        <w:t>Areas of Law: Criminal Law, Transportation Law</w:t>
      </w:r>
    </w:p>
    <w:p w14:paraId="68D8342C" w14:textId="77777777" w:rsidR="00F437FE" w:rsidRDefault="00F437FE" w:rsidP="00F437FE"/>
    <w:p w14:paraId="49566329" w14:textId="77777777" w:rsidR="00F437FE" w:rsidRDefault="00F437FE" w:rsidP="00F437FE">
      <w:r>
        <w:t>A law enforcement officer in Jackson County, Kansas, observed a vehicle with a license plate that was slanting to the right and visibly moving, described as "flapping in the wind." The officer initiated a traffic stop based on the belief that the license plate was not securely fastened as required by Kansas law. During the stop, the officer discovered drugs, drug paraphernalia, and an open container of alcohol in the purse of a passenger, who initially provided a false name. The passenger was subsequently charged with several offenses, including possession of methamphetamine and transportation of liquor in an open container.</w:t>
      </w:r>
    </w:p>
    <w:p w14:paraId="1226FA4F" w14:textId="77777777" w:rsidR="00F437FE" w:rsidRDefault="00F437FE" w:rsidP="00F437FE"/>
    <w:p w14:paraId="7C5D5714" w14:textId="77777777" w:rsidR="00F437FE" w:rsidRDefault="00F437FE" w:rsidP="00F437FE">
      <w:r>
        <w:t>The passenger moved to suppress the evidence, arguing that the officer lacked reasonable suspicion to stop the vehicle because the license plate was otherwise legible and visible. The Jackson District Court denied the motion, relying on the officer’s testimony and persuasive federal authority interpreting the relevant Kansas statute. The case proceeded to trial, where a jury convicted the passenger on all counts. The Kansas Court of Appeals affirmed the district court’s denial of the suppression motion.</w:t>
      </w:r>
    </w:p>
    <w:p w14:paraId="23E284D1" w14:textId="77777777" w:rsidR="00F437FE" w:rsidRDefault="00F437FE" w:rsidP="00F437FE"/>
    <w:p w14:paraId="09EB6E7C" w14:textId="440E04CA" w:rsidR="008626E7" w:rsidRDefault="00F437FE" w:rsidP="00F437FE">
      <w:r>
        <w:t xml:space="preserve">The Supreme Court of the State of Kansas reviewed the case. It held that under K.S.A. 8-133(c), a license plate must be securely fastened to the vehicle, in addition to being visible </w:t>
      </w:r>
      <w:r>
        <w:lastRenderedPageBreak/>
        <w:t>and legible. The court found that the officer’s observation of the plate hanging askew and moving provided reasonable suspicion of a statutory violation, justifying the traffic stop. The court affirmed the decisions of both the Court of Appeals and the district court, holding that the stop was lawful and the evidence was properly admitted.</w:t>
      </w:r>
    </w:p>
    <w:p w14:paraId="26964921" w14:textId="5515E2CC" w:rsidR="00F437FE" w:rsidRDefault="00F437FE" w:rsidP="00F437FE">
      <w:hyperlink r:id="rId8" w:history="1">
        <w:r w:rsidRPr="00D36B96">
          <w:rPr>
            <w:rStyle w:val="Hyperlink"/>
          </w:rPr>
          <w:t>https://cases.justia.com/kansas/supreme-court/2025-125754.pdf</w:t>
        </w:r>
      </w:hyperlink>
      <w:r>
        <w:t xml:space="preserve"> </w:t>
      </w:r>
    </w:p>
    <w:p w14:paraId="3A88E32A" w14:textId="77777777" w:rsidR="00F437FE" w:rsidRDefault="00F437FE" w:rsidP="00F437FE"/>
    <w:p w14:paraId="2AF9DB5A" w14:textId="77777777" w:rsidR="00B3118E" w:rsidRDefault="00B3118E" w:rsidP="00B3118E">
      <w:r>
        <w:t>People v Robinson</w:t>
      </w:r>
    </w:p>
    <w:p w14:paraId="4E60DE6A" w14:textId="77777777" w:rsidR="00B3118E" w:rsidRDefault="00B3118E" w:rsidP="00B3118E"/>
    <w:p w14:paraId="754176B9" w14:textId="77777777" w:rsidR="00B3118E" w:rsidRDefault="00B3118E" w:rsidP="00B3118E">
      <w:r>
        <w:t>Court: New York Court of Appeals</w:t>
      </w:r>
    </w:p>
    <w:p w14:paraId="6B749ED3" w14:textId="77777777" w:rsidR="00B3118E" w:rsidRDefault="00B3118E" w:rsidP="00B3118E"/>
    <w:p w14:paraId="73FDFC29" w14:textId="77777777" w:rsidR="00B3118E" w:rsidRDefault="00B3118E" w:rsidP="00B3118E">
      <w:r>
        <w:t>Citation: 2025 NY Slip Op 05871</w:t>
      </w:r>
    </w:p>
    <w:p w14:paraId="71BFA64E" w14:textId="77777777" w:rsidR="00B3118E" w:rsidRDefault="00B3118E" w:rsidP="00B3118E"/>
    <w:p w14:paraId="605BF073" w14:textId="77777777" w:rsidR="00B3118E" w:rsidRDefault="00B3118E" w:rsidP="00B3118E">
      <w:r>
        <w:t>Opinion Date: October 23, 2025</w:t>
      </w:r>
    </w:p>
    <w:p w14:paraId="42245E31" w14:textId="77777777" w:rsidR="00B3118E" w:rsidRDefault="00B3118E" w:rsidP="00B3118E"/>
    <w:p w14:paraId="083E65A8" w14:textId="77777777" w:rsidR="00B3118E" w:rsidRDefault="00B3118E" w:rsidP="00B3118E">
      <w:r>
        <w:t xml:space="preserve">Judge: Anthony </w:t>
      </w:r>
      <w:proofErr w:type="spellStart"/>
      <w:r>
        <w:t>Cannataro</w:t>
      </w:r>
      <w:proofErr w:type="spellEnd"/>
    </w:p>
    <w:p w14:paraId="5CCE8811" w14:textId="77777777" w:rsidR="00B3118E" w:rsidRDefault="00B3118E" w:rsidP="00B3118E"/>
    <w:p w14:paraId="7A46CA31" w14:textId="77777777" w:rsidR="00B3118E" w:rsidRDefault="00B3118E" w:rsidP="00B3118E">
      <w:r>
        <w:t>Areas of Law: Criminal Law</w:t>
      </w:r>
    </w:p>
    <w:p w14:paraId="08C7A7B9" w14:textId="77777777" w:rsidR="00B3118E" w:rsidRDefault="00B3118E" w:rsidP="00B3118E"/>
    <w:p w14:paraId="6E7A29AA" w14:textId="77777777" w:rsidR="00B3118E" w:rsidRDefault="00B3118E" w:rsidP="00B3118E">
      <w:r>
        <w:t>In this case, the defendant was arrested after a physical altercation in Times Square, where he was accused of stealing a bicycle and injuring the victim. Police officers intervened, handcuffed both the defendant and the victim, and questioned them at the scene. During this questioning, while still handcuffed and surrounded by officers, the defendant admitted to punching the victim. The officers did not provide Miranda warnings before obtaining this statement. Surveillance and body camera footage captured the events and the questioning.</w:t>
      </w:r>
    </w:p>
    <w:p w14:paraId="5F9D4735" w14:textId="77777777" w:rsidR="00B3118E" w:rsidRDefault="00B3118E" w:rsidP="00B3118E"/>
    <w:p w14:paraId="2FC19E30" w14:textId="77777777" w:rsidR="00B3118E" w:rsidRDefault="00B3118E" w:rsidP="00B3118E">
      <w:r>
        <w:t xml:space="preserve">The Supreme Court, New York County, denied the defendant’s motion to suppress his statement, finding that the police were engaged in investigatory questioning rather than custodial interrogation, and thus Miranda warnings were not required. After a bench trial, the defendant was acquitted of second-degree robbery but convicted of third-degree </w:t>
      </w:r>
      <w:r>
        <w:lastRenderedPageBreak/>
        <w:t>robbery. The Appellate Division, First Department, affirmed, concluding that a reasonable person in the defendant’s position would have believed the police were still gathering information, and any error in admitting the statement was harmless due to overwhelming evidence of guilt.</w:t>
      </w:r>
    </w:p>
    <w:p w14:paraId="31DE5A6D" w14:textId="77777777" w:rsidR="00B3118E" w:rsidRDefault="00B3118E" w:rsidP="00B3118E"/>
    <w:p w14:paraId="27EEEF3D" w14:textId="3A3FC9E9" w:rsidR="00F437FE" w:rsidRDefault="00B3118E" w:rsidP="00B3118E">
      <w:r>
        <w:t>The New York Court of Appeals reviewed the case and held that the defendant was subjected to custodial interrogation without Miranda warnings, making his statement inadmissible. The Court clarified that being handcuffed and questioned by police in these circumstances constituted custody, and the officers’ questions were likely to elicit an incriminating response. However, the Court affirmed the Appellate Division’s order, finding that the error was harmless beyond a reasonable doubt because the evidence of guilt was overwhelming and there was no reasonable possibility that the admission of the statement affected the trial’s outcome.</w:t>
      </w:r>
    </w:p>
    <w:p w14:paraId="5B9E5C24" w14:textId="3955F2C7" w:rsidR="00B3118E" w:rsidRDefault="005B10BC" w:rsidP="00B3118E">
      <w:hyperlink r:id="rId9" w:history="1">
        <w:r w:rsidRPr="00D36B96">
          <w:rPr>
            <w:rStyle w:val="Hyperlink"/>
          </w:rPr>
          <w:t>https://law.justia.com/cases/new-york/court-of-appeals/2025/78.html</w:t>
        </w:r>
      </w:hyperlink>
      <w:r>
        <w:t xml:space="preserve"> </w:t>
      </w:r>
    </w:p>
    <w:p w14:paraId="65732048" w14:textId="77777777" w:rsidR="005B10BC" w:rsidRDefault="005B10BC" w:rsidP="00B3118E"/>
    <w:p w14:paraId="26E74146" w14:textId="77777777" w:rsidR="00B3118E" w:rsidRDefault="00B3118E" w:rsidP="00B3118E"/>
    <w:p w14:paraId="2AF75BAF" w14:textId="77777777" w:rsidR="00B3118E" w:rsidRDefault="00B3118E" w:rsidP="00B3118E"/>
    <w:p w14:paraId="23A0BF1F" w14:textId="77777777" w:rsidR="008626E7" w:rsidRDefault="008626E7" w:rsidP="008626E7"/>
    <w:p w14:paraId="1F0E5BF2" w14:textId="77777777" w:rsidR="00283063" w:rsidRDefault="00283063" w:rsidP="00283063"/>
    <w:p w14:paraId="218B15ED" w14:textId="77777777" w:rsidR="00283063" w:rsidRDefault="00283063" w:rsidP="00283063"/>
    <w:sectPr w:rsidR="002830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43F"/>
    <w:rsid w:val="00283063"/>
    <w:rsid w:val="004E3816"/>
    <w:rsid w:val="00570746"/>
    <w:rsid w:val="005B10BC"/>
    <w:rsid w:val="0073043F"/>
    <w:rsid w:val="008626E7"/>
    <w:rsid w:val="00AA5EBD"/>
    <w:rsid w:val="00B3118E"/>
    <w:rsid w:val="00D41EC4"/>
    <w:rsid w:val="00F43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58D16"/>
  <w15:chartTrackingRefBased/>
  <w15:docId w15:val="{7EFC8184-0D51-453B-9CDB-4ABBC8E1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43F"/>
    <w:rPr>
      <w:rFonts w:eastAsiaTheme="majorEastAsia" w:cstheme="majorBidi"/>
      <w:color w:val="272727" w:themeColor="text1" w:themeTint="D8"/>
    </w:rPr>
  </w:style>
  <w:style w:type="paragraph" w:styleId="Title">
    <w:name w:val="Title"/>
    <w:basedOn w:val="Normal"/>
    <w:next w:val="Normal"/>
    <w:link w:val="TitleChar"/>
    <w:uiPriority w:val="10"/>
    <w:qFormat/>
    <w:rsid w:val="00730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43F"/>
    <w:pPr>
      <w:spacing w:before="160"/>
      <w:jc w:val="center"/>
    </w:pPr>
    <w:rPr>
      <w:i/>
      <w:iCs/>
      <w:color w:val="404040" w:themeColor="text1" w:themeTint="BF"/>
    </w:rPr>
  </w:style>
  <w:style w:type="character" w:customStyle="1" w:styleId="QuoteChar">
    <w:name w:val="Quote Char"/>
    <w:basedOn w:val="DefaultParagraphFont"/>
    <w:link w:val="Quote"/>
    <w:uiPriority w:val="29"/>
    <w:rsid w:val="0073043F"/>
    <w:rPr>
      <w:i/>
      <w:iCs/>
      <w:color w:val="404040" w:themeColor="text1" w:themeTint="BF"/>
    </w:rPr>
  </w:style>
  <w:style w:type="paragraph" w:styleId="ListParagraph">
    <w:name w:val="List Paragraph"/>
    <w:basedOn w:val="Normal"/>
    <w:uiPriority w:val="34"/>
    <w:qFormat/>
    <w:rsid w:val="0073043F"/>
    <w:pPr>
      <w:ind w:left="720"/>
      <w:contextualSpacing/>
    </w:pPr>
  </w:style>
  <w:style w:type="character" w:styleId="IntenseEmphasis">
    <w:name w:val="Intense Emphasis"/>
    <w:basedOn w:val="DefaultParagraphFont"/>
    <w:uiPriority w:val="21"/>
    <w:qFormat/>
    <w:rsid w:val="0073043F"/>
    <w:rPr>
      <w:i/>
      <w:iCs/>
      <w:color w:val="0F4761" w:themeColor="accent1" w:themeShade="BF"/>
    </w:rPr>
  </w:style>
  <w:style w:type="paragraph" w:styleId="IntenseQuote">
    <w:name w:val="Intense Quote"/>
    <w:basedOn w:val="Normal"/>
    <w:next w:val="Normal"/>
    <w:link w:val="IntenseQuoteChar"/>
    <w:uiPriority w:val="30"/>
    <w:qFormat/>
    <w:rsid w:val="00730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43F"/>
    <w:rPr>
      <w:i/>
      <w:iCs/>
      <w:color w:val="0F4761" w:themeColor="accent1" w:themeShade="BF"/>
    </w:rPr>
  </w:style>
  <w:style w:type="character" w:styleId="IntenseReference">
    <w:name w:val="Intense Reference"/>
    <w:basedOn w:val="DefaultParagraphFont"/>
    <w:uiPriority w:val="32"/>
    <w:qFormat/>
    <w:rsid w:val="0073043F"/>
    <w:rPr>
      <w:b/>
      <w:bCs/>
      <w:smallCaps/>
      <w:color w:val="0F4761" w:themeColor="accent1" w:themeShade="BF"/>
      <w:spacing w:val="5"/>
    </w:rPr>
  </w:style>
  <w:style w:type="character" w:styleId="Hyperlink">
    <w:name w:val="Hyperlink"/>
    <w:basedOn w:val="DefaultParagraphFont"/>
    <w:uiPriority w:val="99"/>
    <w:unhideWhenUsed/>
    <w:rsid w:val="00283063"/>
    <w:rPr>
      <w:color w:val="467886" w:themeColor="hyperlink"/>
      <w:u w:val="single"/>
    </w:rPr>
  </w:style>
  <w:style w:type="character" w:styleId="UnresolvedMention">
    <w:name w:val="Unresolved Mention"/>
    <w:basedOn w:val="DefaultParagraphFont"/>
    <w:uiPriority w:val="99"/>
    <w:semiHidden/>
    <w:unhideWhenUsed/>
    <w:rsid w:val="002830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kansas/supreme-court/2025-125754.pdf" TargetMode="External"/><Relationship Id="rId3" Type="http://schemas.openxmlformats.org/officeDocument/2006/relationships/webSettings" Target="webSettings.xml"/><Relationship Id="rId7" Type="http://schemas.openxmlformats.org/officeDocument/2006/relationships/hyperlink" Target="https://cases.justia.com/federal/appellate-courts/ca7/24-1564/24-1564-2025-10-21.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6/24-5319/24-5319-2025-10-17.pdf" TargetMode="External"/><Relationship Id="rId11" Type="http://schemas.openxmlformats.org/officeDocument/2006/relationships/theme" Target="theme/theme1.xml"/><Relationship Id="rId5" Type="http://schemas.openxmlformats.org/officeDocument/2006/relationships/hyperlink" Target="https://cases.justia.com/federal/appellate-courts/ca1/24-1634/24-1634-2025-10-22.pdf" TargetMode="External"/><Relationship Id="rId10" Type="http://schemas.openxmlformats.org/officeDocument/2006/relationships/fontTable" Target="fontTable.xml"/><Relationship Id="rId4" Type="http://schemas.openxmlformats.org/officeDocument/2006/relationships/hyperlink" Target="https://cases.justia.com/federal/appellate-courts/ca6/24-3377/24-3377-2025-10-17.pdf" TargetMode="External"/><Relationship Id="rId9" Type="http://schemas.openxmlformats.org/officeDocument/2006/relationships/hyperlink" Target="https://law.justia.com/cases/new-york/court-of-appeals/2025/7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1943</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4</cp:revision>
  <dcterms:created xsi:type="dcterms:W3CDTF">2025-10-24T14:34:00Z</dcterms:created>
  <dcterms:modified xsi:type="dcterms:W3CDTF">2025-10-24T14:56:00Z</dcterms:modified>
</cp:coreProperties>
</file>