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730142" w14:textId="7DC8F701" w:rsidR="00D41EC4" w:rsidRDefault="00DE5DDD" w:rsidP="00442568">
      <w:pPr>
        <w:spacing w:after="0" w:line="240" w:lineRule="auto"/>
      </w:pPr>
      <w:r>
        <w:t>CASES 31OCT2025</w:t>
      </w:r>
    </w:p>
    <w:p w14:paraId="3E3FEE66" w14:textId="77777777" w:rsidR="00442568" w:rsidRDefault="00442568" w:rsidP="00442568">
      <w:pPr>
        <w:spacing w:after="0" w:line="240" w:lineRule="auto"/>
      </w:pPr>
    </w:p>
    <w:p w14:paraId="3F487E15" w14:textId="70FD3DFC" w:rsidR="00442568" w:rsidRPr="00442568" w:rsidRDefault="00442568" w:rsidP="00442568">
      <w:pPr>
        <w:spacing w:after="0" w:line="240" w:lineRule="auto"/>
        <w:rPr>
          <w:b/>
          <w:bCs/>
        </w:rPr>
      </w:pPr>
      <w:r w:rsidRPr="00442568">
        <w:rPr>
          <w:b/>
          <w:bCs/>
        </w:rPr>
        <w:t>United States v. Huerta</w:t>
      </w:r>
    </w:p>
    <w:p w14:paraId="054C4EB2" w14:textId="3DAB759E" w:rsidR="00442568" w:rsidRDefault="00442568" w:rsidP="00442568">
      <w:pPr>
        <w:spacing w:after="0" w:line="240" w:lineRule="auto"/>
      </w:pPr>
      <w:r>
        <w:t>U.S. Court of Appeals for the Tenth Circuit</w:t>
      </w:r>
    </w:p>
    <w:p w14:paraId="7F000D30" w14:textId="105A4398" w:rsidR="00442568" w:rsidRDefault="00442568" w:rsidP="00442568">
      <w:pPr>
        <w:spacing w:after="0" w:line="240" w:lineRule="auto"/>
      </w:pPr>
      <w:r>
        <w:t>25-1050</w:t>
      </w:r>
    </w:p>
    <w:p w14:paraId="6610B3FA" w14:textId="1909BF6B" w:rsidR="00442568" w:rsidRDefault="00442568" w:rsidP="00442568">
      <w:pPr>
        <w:spacing w:after="0" w:line="240" w:lineRule="auto"/>
      </w:pPr>
      <w:r>
        <w:t>October 29, 2025</w:t>
      </w:r>
    </w:p>
    <w:p w14:paraId="29D57D5A" w14:textId="77777777" w:rsidR="00442568" w:rsidRDefault="00442568" w:rsidP="00442568">
      <w:pPr>
        <w:spacing w:after="0" w:line="240" w:lineRule="auto"/>
      </w:pPr>
    </w:p>
    <w:p w14:paraId="7B108FE4" w14:textId="3494D2CB" w:rsidR="00442568" w:rsidRPr="00442568" w:rsidRDefault="00442568" w:rsidP="00442568">
      <w:pPr>
        <w:spacing w:after="0" w:line="240" w:lineRule="auto"/>
        <w:rPr>
          <w:i/>
          <w:iCs/>
        </w:rPr>
      </w:pPr>
      <w:r w:rsidRPr="00442568">
        <w:rPr>
          <w:i/>
          <w:iCs/>
        </w:rPr>
        <w:t xml:space="preserve">Summary:    </w:t>
      </w:r>
    </w:p>
    <w:p w14:paraId="456D0946" w14:textId="77777777" w:rsidR="00442568" w:rsidRDefault="00442568" w:rsidP="00442568">
      <w:pPr>
        <w:spacing w:after="0" w:line="240" w:lineRule="auto"/>
      </w:pPr>
    </w:p>
    <w:p w14:paraId="0309AE8E" w14:textId="2F313461" w:rsidR="00442568" w:rsidRDefault="00442568" w:rsidP="00442568">
      <w:pPr>
        <w:spacing w:after="0" w:line="240" w:lineRule="auto"/>
      </w:pPr>
      <w:r>
        <w:t>In this case, police in Denver were investigating a shooting that occurred early in the morning. They identified a suspect described as a light-skinned Black male with a bald head, thick beard, and muscular build, and circulated a photo of him. Later that day, officers surveilled a vehicle believed to be connected to the suspect. When a group, including a Black male with some similar clothing but not matching the suspect’s physical description, arrived in a different car and then left in a third vehicle, officers decided to stop that vehicle at a gas station. During the stop, officers detained Noah Huerta, a passenger, and conducted a pat down, finding a firearm magazine on him. A subsequent search of the vehicle, after obtaining the driver’s consent, revealed a handgun near Huerta’s seat.</w:t>
      </w:r>
    </w:p>
    <w:p w14:paraId="257A352F" w14:textId="77777777" w:rsidR="00442568" w:rsidRDefault="00442568" w:rsidP="00442568">
      <w:pPr>
        <w:spacing w:after="0" w:line="240" w:lineRule="auto"/>
      </w:pPr>
    </w:p>
    <w:p w14:paraId="5C571D5F" w14:textId="32326BCB" w:rsidR="00442568" w:rsidRDefault="00442568" w:rsidP="00442568">
      <w:pPr>
        <w:spacing w:after="0" w:line="240" w:lineRule="auto"/>
      </w:pPr>
      <w:r>
        <w:t>The United States District Court for the District of Colorado denied Huerta’s motion to suppress the evidence, finding that the officers had reasonable suspicion to believe he was armed and dangerous, and also ruled that the firearm would have been inevitably discovered</w:t>
      </w:r>
    </w:p>
    <w:p w14:paraId="150EB96E" w14:textId="77777777" w:rsidR="00442568" w:rsidRDefault="00442568" w:rsidP="00442568">
      <w:pPr>
        <w:spacing w:after="0" w:line="240" w:lineRule="auto"/>
      </w:pPr>
    </w:p>
    <w:p w14:paraId="4C958AB7" w14:textId="38AF2530" w:rsidR="00DE5DDD" w:rsidRDefault="00442568" w:rsidP="00442568">
      <w:pPr>
        <w:spacing w:after="0" w:line="240" w:lineRule="auto"/>
      </w:pPr>
      <w:r>
        <w:t>On appeal, the United States Court of Appeals for the Tenth Circuit held that the officers lacked reasonable suspicion to believe Huerta was armed and dangerous, as the connection between the group and the shooting suspect was tenuous and based on a mere hunch, and the conduct of the vehicle’s occupants was innocuous. The court also found that the inevitable discovery doctrine did not apply. The court reversed the denial of the motion to suppress and remanded for further proceedings.</w:t>
      </w:r>
    </w:p>
    <w:p w14:paraId="30BDA752" w14:textId="77777777" w:rsidR="00442568" w:rsidRDefault="00442568" w:rsidP="00442568">
      <w:pPr>
        <w:spacing w:after="0" w:line="240" w:lineRule="auto"/>
      </w:pPr>
    </w:p>
    <w:p w14:paraId="0D75AD27" w14:textId="55636596" w:rsidR="00442568" w:rsidRDefault="00000000" w:rsidP="00442568">
      <w:pPr>
        <w:spacing w:after="0" w:line="240" w:lineRule="auto"/>
      </w:pPr>
      <w:hyperlink r:id="rId4" w:history="1">
        <w:r w:rsidR="00442568" w:rsidRPr="0002308F">
          <w:rPr>
            <w:rStyle w:val="Hyperlink"/>
          </w:rPr>
          <w:t>https://cases.justia.com/federal/appellate-courts/ca10/25-1050/25-1050-2025-10-29.pdf</w:t>
        </w:r>
      </w:hyperlink>
      <w:r w:rsidR="00442568">
        <w:t xml:space="preserve"> </w:t>
      </w:r>
    </w:p>
    <w:p w14:paraId="717162AE" w14:textId="77777777" w:rsidR="00442568" w:rsidRDefault="00442568" w:rsidP="00442568">
      <w:pPr>
        <w:spacing w:after="0" w:line="240" w:lineRule="auto"/>
      </w:pPr>
    </w:p>
    <w:p w14:paraId="29A61716" w14:textId="77777777" w:rsidR="00442568" w:rsidRDefault="00442568" w:rsidP="00442568">
      <w:pPr>
        <w:spacing w:after="0" w:line="240" w:lineRule="auto"/>
      </w:pPr>
    </w:p>
    <w:p w14:paraId="4AED9AEE" w14:textId="77777777" w:rsidR="00442568" w:rsidRDefault="00442568">
      <w:r>
        <w:br w:type="page"/>
      </w:r>
    </w:p>
    <w:p w14:paraId="4330EB40" w14:textId="1275C404" w:rsidR="00442568" w:rsidRPr="00442568" w:rsidRDefault="00442568" w:rsidP="00442568">
      <w:pPr>
        <w:spacing w:after="0" w:line="240" w:lineRule="auto"/>
        <w:rPr>
          <w:b/>
          <w:bCs/>
        </w:rPr>
      </w:pPr>
      <w:r w:rsidRPr="00442568">
        <w:rPr>
          <w:b/>
          <w:bCs/>
        </w:rPr>
        <w:lastRenderedPageBreak/>
        <w:t>United States v. McGregor</w:t>
      </w:r>
    </w:p>
    <w:p w14:paraId="7D2979E6" w14:textId="7E743E92" w:rsidR="00442568" w:rsidRDefault="00442568" w:rsidP="00442568">
      <w:pPr>
        <w:spacing w:after="0" w:line="240" w:lineRule="auto"/>
      </w:pPr>
      <w:r>
        <w:t>U.S. Court of Appeals for the Tenth Circuit</w:t>
      </w:r>
    </w:p>
    <w:p w14:paraId="33A08D16" w14:textId="60E5F109" w:rsidR="00442568" w:rsidRDefault="00442568" w:rsidP="00442568">
      <w:pPr>
        <w:spacing w:after="0" w:line="240" w:lineRule="auto"/>
      </w:pPr>
      <w:r>
        <w:t>23-1399</w:t>
      </w:r>
    </w:p>
    <w:p w14:paraId="157FB34B" w14:textId="10F141CB" w:rsidR="00442568" w:rsidRDefault="00442568" w:rsidP="00442568">
      <w:pPr>
        <w:spacing w:after="0" w:line="240" w:lineRule="auto"/>
      </w:pPr>
      <w:r>
        <w:t>October 28, 2025</w:t>
      </w:r>
    </w:p>
    <w:p w14:paraId="5F0DF9E5" w14:textId="77777777" w:rsidR="00442568" w:rsidRDefault="00442568" w:rsidP="00442568">
      <w:pPr>
        <w:spacing w:after="0" w:line="240" w:lineRule="auto"/>
      </w:pPr>
    </w:p>
    <w:p w14:paraId="541BB018" w14:textId="6957FF19" w:rsidR="00442568" w:rsidRPr="00442568" w:rsidRDefault="00442568" w:rsidP="00442568">
      <w:pPr>
        <w:spacing w:after="0" w:line="240" w:lineRule="auto"/>
        <w:rPr>
          <w:i/>
          <w:iCs/>
        </w:rPr>
      </w:pPr>
      <w:r w:rsidRPr="00442568">
        <w:rPr>
          <w:i/>
          <w:iCs/>
        </w:rPr>
        <w:t xml:space="preserve">Summary: </w:t>
      </w:r>
      <w:r w:rsidR="00675C04">
        <w:rPr>
          <w:i/>
          <w:iCs/>
        </w:rPr>
        <w:t>Extended Terry Frisk of automobile was supported by reasonable suspicion that the driver was presently armed and dangerous.</w:t>
      </w:r>
      <w:r w:rsidR="007C4FD2">
        <w:rPr>
          <w:i/>
          <w:iCs/>
        </w:rPr>
        <w:t xml:space="preserve"> </w:t>
      </w:r>
    </w:p>
    <w:p w14:paraId="453F616F" w14:textId="77777777" w:rsidR="00442568" w:rsidRDefault="00442568" w:rsidP="00442568">
      <w:pPr>
        <w:spacing w:after="0" w:line="240" w:lineRule="auto"/>
      </w:pPr>
    </w:p>
    <w:p w14:paraId="2B89BB90" w14:textId="77777777" w:rsidR="00442568" w:rsidRDefault="00442568" w:rsidP="00442568">
      <w:pPr>
        <w:spacing w:after="0" w:line="240" w:lineRule="auto"/>
      </w:pPr>
      <w:r>
        <w:t>In this case, the defendant was stopped by police officers in Aurora, Colorado, for speeding. During the stop, the officers observed the defendant make a dramatic movement toward the passenger side of his vehicle, to the extent that he was no longer visible to them. The officers recognized the defendant as a member of a local violent gang and learned from him that he was on parole for robbery. After asking the defendant to exit the vehicle and conducting a pat-down that revealed no weapons, the officers searched the passenger seat area and found a firearm. The defendant was subsequently charged with being a felon in possession of a firearm under 18 U.S.C. § 922(g)(1).</w:t>
      </w:r>
    </w:p>
    <w:p w14:paraId="5DED4DCA" w14:textId="77777777" w:rsidR="00442568" w:rsidRDefault="00442568" w:rsidP="00442568">
      <w:pPr>
        <w:spacing w:after="0" w:line="240" w:lineRule="auto"/>
      </w:pPr>
    </w:p>
    <w:p w14:paraId="73CE2D59" w14:textId="77777777" w:rsidR="00442568" w:rsidRDefault="00442568" w:rsidP="00442568">
      <w:pPr>
        <w:spacing w:after="0" w:line="240" w:lineRule="auto"/>
      </w:pPr>
      <w:r>
        <w:t>The United States District Court for the District of Colorado held an evidentiary hearing on the defendant’s motion to suppress the firearm evidence, which argued that the warrantless vehicle search violated the Fourth Amendment. The district court denied the motion, finding that the officers had reasonable suspicion to believe the defendant was armed and dangerous, based on his furtive movement, gang affiliation, and parole status for a violent crime. The defendant entered a conditional guilty plea, reserving his right to appeal the suppression ruling, and was sentenced to thirty-seven months in prison.</w:t>
      </w:r>
    </w:p>
    <w:p w14:paraId="47AEAFE9" w14:textId="77777777" w:rsidR="00442568" w:rsidRDefault="00442568" w:rsidP="00442568">
      <w:pPr>
        <w:spacing w:after="0" w:line="240" w:lineRule="auto"/>
      </w:pPr>
    </w:p>
    <w:p w14:paraId="4D170927" w14:textId="61CE57DF" w:rsidR="00442568" w:rsidRDefault="00442568" w:rsidP="00442568">
      <w:pPr>
        <w:spacing w:after="0" w:line="240" w:lineRule="auto"/>
      </w:pPr>
      <w:r>
        <w:t xml:space="preserve">On appeal, the United States Court of Appeals for the Tenth Circuit reviewed the denial of the motion to suppress de novo, considering the totality of the circumstances. The court held that the combination of the defendant’s dramatic movement, his recognized gang membership, and his parole for robbery provided reasonable suspicion that he was armed and dangerous, justifying the protective vehicle search under the </w:t>
      </w:r>
      <w:r w:rsidR="00460EA1">
        <w:t>“</w:t>
      </w:r>
      <w:r>
        <w:t>officer safety exception</w:t>
      </w:r>
      <w:r w:rsidR="00460EA1">
        <w:t>”</w:t>
      </w:r>
      <w:r>
        <w:t xml:space="preserve"> to the Fourth Amendment. The Tenth Circuit affirmed the district court’s judgment.</w:t>
      </w:r>
    </w:p>
    <w:p w14:paraId="6EC3FA3E" w14:textId="77777777" w:rsidR="00460EA1" w:rsidRDefault="00460EA1" w:rsidP="00442568">
      <w:pPr>
        <w:spacing w:after="0" w:line="240" w:lineRule="auto"/>
      </w:pPr>
    </w:p>
    <w:p w14:paraId="6A8D0CE8" w14:textId="1F020E32" w:rsidR="00460EA1" w:rsidRDefault="00460EA1" w:rsidP="00442568">
      <w:pPr>
        <w:spacing w:after="0" w:line="240" w:lineRule="auto"/>
      </w:pPr>
      <w:r>
        <w:t xml:space="preserve">Takeaway: The court held the protective sweep of the vehicle was reasonable under the </w:t>
      </w:r>
      <w:r w:rsidRPr="00460EA1">
        <w:rPr>
          <w:i/>
          <w:iCs/>
        </w:rPr>
        <w:t>Michigan v. Long</w:t>
      </w:r>
      <w:r>
        <w:t xml:space="preserve"> decision in which the US Supreme Court extended the Terry Frisk to an automobile if the conditions are met. Although there are judicially-recognized exceptions that have officer safety as a primary purpose, there is no blanket “officer safety exception” and it is unfortunate that the court decided to refer to it as such.</w:t>
      </w:r>
      <w:r w:rsidR="00675C04">
        <w:t xml:space="preserve"> Be cautious when using generic terms for judicially-recognized exceptions. Every exception is developed from a Supreme Court decision, so use the case name when identifying the judicially-recognized exception.</w:t>
      </w:r>
    </w:p>
    <w:p w14:paraId="516089F8" w14:textId="77777777" w:rsidR="00442568" w:rsidRDefault="00442568" w:rsidP="00442568">
      <w:pPr>
        <w:spacing w:after="0" w:line="240" w:lineRule="auto"/>
      </w:pPr>
    </w:p>
    <w:p w14:paraId="4ADDBD90" w14:textId="6CDE5BF4" w:rsidR="00442568" w:rsidRDefault="00000000" w:rsidP="00442568">
      <w:pPr>
        <w:spacing w:after="0" w:line="240" w:lineRule="auto"/>
      </w:pPr>
      <w:hyperlink r:id="rId5" w:history="1">
        <w:r w:rsidR="00B75044" w:rsidRPr="0002308F">
          <w:rPr>
            <w:rStyle w:val="Hyperlink"/>
          </w:rPr>
          <w:t>https://cases.justia.com/federal/appellate-courts/ca10/23-1399/23-1399-2025-10-28.pdf</w:t>
        </w:r>
      </w:hyperlink>
      <w:r w:rsidR="00B75044">
        <w:t xml:space="preserve"> </w:t>
      </w:r>
    </w:p>
    <w:p w14:paraId="0D30A3FB" w14:textId="440E011E" w:rsidR="00675C04" w:rsidRDefault="00675C04">
      <w:r>
        <w:br w:type="page"/>
      </w:r>
    </w:p>
    <w:p w14:paraId="129E30B2" w14:textId="52FF2254" w:rsidR="00B75044" w:rsidRPr="00B75044" w:rsidRDefault="00B75044" w:rsidP="00B75044">
      <w:pPr>
        <w:spacing w:after="0" w:line="240" w:lineRule="auto"/>
        <w:rPr>
          <w:b/>
          <w:bCs/>
        </w:rPr>
      </w:pPr>
      <w:r w:rsidRPr="00B75044">
        <w:rPr>
          <w:b/>
          <w:bCs/>
        </w:rPr>
        <w:lastRenderedPageBreak/>
        <w:t>State of Texas v. Organ</w:t>
      </w:r>
    </w:p>
    <w:p w14:paraId="0B6B826A" w14:textId="55368A76" w:rsidR="00B75044" w:rsidRDefault="00B75044" w:rsidP="00B75044">
      <w:pPr>
        <w:spacing w:after="0" w:line="240" w:lineRule="auto"/>
      </w:pPr>
      <w:r>
        <w:t>Texas Court of Criminal Appeals</w:t>
      </w:r>
    </w:p>
    <w:p w14:paraId="2894870B" w14:textId="286AA490" w:rsidR="00B75044" w:rsidRDefault="00B75044" w:rsidP="00B75044">
      <w:pPr>
        <w:spacing w:after="0" w:line="240" w:lineRule="auto"/>
      </w:pPr>
      <w:r>
        <w:t>October 30, 2025</w:t>
      </w:r>
    </w:p>
    <w:p w14:paraId="650D8729" w14:textId="77777777" w:rsidR="00B75044" w:rsidRDefault="00B75044" w:rsidP="00B75044">
      <w:pPr>
        <w:spacing w:after="0" w:line="240" w:lineRule="auto"/>
      </w:pPr>
    </w:p>
    <w:p w14:paraId="38AEC7D8" w14:textId="744E7D31" w:rsidR="00B75044" w:rsidRPr="00B75044" w:rsidRDefault="00B75044" w:rsidP="00B75044">
      <w:pPr>
        <w:spacing w:after="0" w:line="240" w:lineRule="auto"/>
        <w:rPr>
          <w:i/>
          <w:iCs/>
        </w:rPr>
      </w:pPr>
      <w:r w:rsidRPr="00B75044">
        <w:rPr>
          <w:i/>
          <w:iCs/>
        </w:rPr>
        <w:t xml:space="preserve">Summary:      </w:t>
      </w:r>
    </w:p>
    <w:p w14:paraId="24358854" w14:textId="77777777" w:rsidR="00B75044" w:rsidRDefault="00B75044" w:rsidP="00B75044">
      <w:pPr>
        <w:spacing w:after="0" w:line="240" w:lineRule="auto"/>
      </w:pPr>
    </w:p>
    <w:p w14:paraId="34BBD6B5" w14:textId="77777777" w:rsidR="00B75044" w:rsidRDefault="00B75044" w:rsidP="00B75044">
      <w:pPr>
        <w:spacing w:after="0" w:line="240" w:lineRule="auto"/>
      </w:pPr>
      <w:r>
        <w:t>A state trooper stopped a vehicle for speeding in Waller County, Texas. The driver and passenger appeared nervous, and the trooper noticed strong odors of food and cigarillo smoke, with a possible faint smell of marijuana. After the occupants denied consent to search, a backup officer arrived with a drug-detection dog. During an open-air sniff, the dog’s handler directed the dog to various parts of the vehicle. The dog repeatedly jumped up and stuck its nose through the open passenger window into the car’s interior. After the third intrusion, the dog alerted, and officers searched the vehicle, finding a large quantity of pills. The driver was charged with possession of a controlled substance.</w:t>
      </w:r>
    </w:p>
    <w:p w14:paraId="2528AF94" w14:textId="77777777" w:rsidR="00B75044" w:rsidRDefault="00B75044" w:rsidP="00B75044">
      <w:pPr>
        <w:spacing w:after="0" w:line="240" w:lineRule="auto"/>
      </w:pPr>
    </w:p>
    <w:p w14:paraId="24E481BB" w14:textId="77777777" w:rsidR="00B75044" w:rsidRDefault="00B75044" w:rsidP="00B75044">
      <w:pPr>
        <w:spacing w:after="0" w:line="240" w:lineRule="auto"/>
      </w:pPr>
      <w:r>
        <w:t>The 506th District Court of Waller County initially denied the defendant’s motion to suppress, finding that the totality of the circumstances provided reasonable suspicion and that the dog’s alert provided probable cause. Upon reconsideration, however, the trial court granted the motion to suppress, concluding that the dog’s nose entering the vehicle constituted a trespass and an unlawful search under the Fourth Amendment, and that the evidence found should be excluded. The Fourteenth Court of Appeals affirmed, holding that the dog’s intrusion into the vehicle’s interior was an unreasonable search.</w:t>
      </w:r>
    </w:p>
    <w:p w14:paraId="6D51A8EA" w14:textId="77777777" w:rsidR="00B75044" w:rsidRDefault="00B75044" w:rsidP="00B75044">
      <w:pPr>
        <w:spacing w:after="0" w:line="240" w:lineRule="auto"/>
      </w:pPr>
    </w:p>
    <w:p w14:paraId="684DC672" w14:textId="70CA0BDF" w:rsidR="00675C04" w:rsidRDefault="00B75044" w:rsidP="00B75044">
      <w:pPr>
        <w:spacing w:after="0" w:line="240" w:lineRule="auto"/>
      </w:pPr>
      <w:r>
        <w:t>The Texas Court of Criminal Appeals reviewed the case and affirmed the court of appeals’ decision. The court held that the repeated physical intrusion of the drug-detection dog’s nose into the interior of the vehicle during an open-air sniff constituted a search under the Fourth Amendment. Because this search was conducted without probable cause, the trial court properly suppressed the evidence obtained as a result. The court clarified that such an intrusion is distinct from a routine exterior sniff and is subject to constitutional protections.</w:t>
      </w:r>
    </w:p>
    <w:p w14:paraId="5DC0B0E8" w14:textId="77777777" w:rsidR="00B75044" w:rsidRDefault="00B75044" w:rsidP="00B75044">
      <w:pPr>
        <w:spacing w:after="0" w:line="240" w:lineRule="auto"/>
      </w:pPr>
    </w:p>
    <w:p w14:paraId="3AC4302B" w14:textId="2501F365" w:rsidR="00B75044" w:rsidRDefault="00A85605" w:rsidP="00B75044">
      <w:pPr>
        <w:spacing w:after="0" w:line="240" w:lineRule="auto"/>
      </w:pPr>
      <w:hyperlink r:id="rId6" w:history="1">
        <w:r w:rsidRPr="00FB6890">
          <w:rPr>
            <w:rStyle w:val="Hyperlink"/>
          </w:rPr>
          <w:t>https://cases.justia.com/texas/court-of-criminal-appeals/2025-pd-0841-24-0.pdf</w:t>
        </w:r>
      </w:hyperlink>
      <w:r>
        <w:t xml:space="preserve"> </w:t>
      </w:r>
    </w:p>
    <w:p w14:paraId="17DC6524" w14:textId="77777777" w:rsidR="00B75044" w:rsidRDefault="00B75044" w:rsidP="00B75044">
      <w:pPr>
        <w:spacing w:after="0" w:line="240" w:lineRule="auto"/>
      </w:pPr>
    </w:p>
    <w:p w14:paraId="21AD386C" w14:textId="77777777" w:rsidR="00A85605" w:rsidRDefault="00A85605">
      <w:pPr>
        <w:rPr>
          <w:b/>
          <w:bCs/>
        </w:rPr>
      </w:pPr>
      <w:r>
        <w:rPr>
          <w:b/>
          <w:bCs/>
        </w:rPr>
        <w:br w:type="page"/>
      </w:r>
    </w:p>
    <w:p w14:paraId="3BD55766" w14:textId="3237CC81" w:rsidR="002E01BC" w:rsidRPr="002E01BC" w:rsidRDefault="002E01BC" w:rsidP="002E01BC">
      <w:pPr>
        <w:spacing w:after="0" w:line="240" w:lineRule="auto"/>
        <w:rPr>
          <w:b/>
          <w:bCs/>
        </w:rPr>
      </w:pPr>
      <w:r w:rsidRPr="002E01BC">
        <w:rPr>
          <w:b/>
          <w:bCs/>
        </w:rPr>
        <w:lastRenderedPageBreak/>
        <w:t>Wright v. Martin</w:t>
      </w:r>
    </w:p>
    <w:p w14:paraId="05276EC5" w14:textId="04DC28FC" w:rsidR="002E01BC" w:rsidRDefault="002E01BC" w:rsidP="002E01BC">
      <w:pPr>
        <w:spacing w:after="0" w:line="240" w:lineRule="auto"/>
      </w:pPr>
      <w:r>
        <w:t>U.S. Court of Appeals for the First Circuit</w:t>
      </w:r>
    </w:p>
    <w:p w14:paraId="75ED19D8" w14:textId="752AD07A" w:rsidR="002E01BC" w:rsidRDefault="002E01BC" w:rsidP="002E01BC">
      <w:pPr>
        <w:spacing w:after="0" w:line="240" w:lineRule="auto"/>
      </w:pPr>
      <w:r>
        <w:t>24-1390</w:t>
      </w:r>
    </w:p>
    <w:p w14:paraId="7CFD4437" w14:textId="186D663D" w:rsidR="002E01BC" w:rsidRDefault="002E01BC" w:rsidP="002E01BC">
      <w:pPr>
        <w:spacing w:after="0" w:line="240" w:lineRule="auto"/>
      </w:pPr>
      <w:r>
        <w:t>October 29, 2025</w:t>
      </w:r>
    </w:p>
    <w:p w14:paraId="1B2EEE10" w14:textId="77777777" w:rsidR="002E01BC" w:rsidRDefault="002E01BC" w:rsidP="002E01BC">
      <w:pPr>
        <w:spacing w:after="0" w:line="240" w:lineRule="auto"/>
      </w:pPr>
    </w:p>
    <w:p w14:paraId="26A47385" w14:textId="3C729BAA" w:rsidR="002E01BC" w:rsidRPr="002E01BC" w:rsidRDefault="002E01BC" w:rsidP="002E01BC">
      <w:pPr>
        <w:spacing w:after="0" w:line="240" w:lineRule="auto"/>
        <w:rPr>
          <w:i/>
          <w:iCs/>
        </w:rPr>
      </w:pPr>
      <w:r w:rsidRPr="002E01BC">
        <w:rPr>
          <w:i/>
          <w:iCs/>
        </w:rPr>
        <w:t xml:space="preserve">Summary:        </w:t>
      </w:r>
    </w:p>
    <w:p w14:paraId="0DF06A85" w14:textId="77777777" w:rsidR="002E01BC" w:rsidRDefault="002E01BC" w:rsidP="002E01BC">
      <w:pPr>
        <w:spacing w:after="0" w:line="240" w:lineRule="auto"/>
      </w:pPr>
    </w:p>
    <w:p w14:paraId="5B332271" w14:textId="77777777" w:rsidR="002E01BC" w:rsidRDefault="002E01BC" w:rsidP="002E01BC">
      <w:pPr>
        <w:spacing w:after="0" w:line="240" w:lineRule="auto"/>
      </w:pPr>
      <w:r>
        <w:t>While awaiting resentencing on federal charges, an individual was detained at the Donald W. Wyatt Detention Facility in Rhode Island. During his approximately seventeen-month confinement, he, a Sunni Muslim, communicated with facility officials about his religious needs, including requests to hold congregational prayer and access religious programming and property. He alleges that officials responded with harassment, denied his requests for religious services, and ultimately transferred him to another facility in retaliation for his complaints.</w:t>
      </w:r>
    </w:p>
    <w:p w14:paraId="53BD36BF" w14:textId="77777777" w:rsidR="002E01BC" w:rsidRDefault="002E01BC" w:rsidP="002E01BC">
      <w:pPr>
        <w:spacing w:after="0" w:line="240" w:lineRule="auto"/>
      </w:pPr>
    </w:p>
    <w:p w14:paraId="1CEA143B" w14:textId="77777777" w:rsidR="002E01BC" w:rsidRDefault="002E01BC" w:rsidP="002E01BC">
      <w:pPr>
        <w:spacing w:after="0" w:line="240" w:lineRule="auto"/>
      </w:pPr>
      <w:r>
        <w:t>He filed a pro se complaint in the United States District Court for the District of Rhode Island against the facility’s warden and three unknown officials, seeking damages under 42 U.S.C. § 1983 for alleged violations of his First and Fourteenth Amendment rights. The defendants moved to dismiss, arguing they were not acting under color of state law but rather federal law, and thus were not subject to suit under § 1983. The district court granted the motion, relying on a prior district court decision that held officials at Wyatt act under color of federal law.</w:t>
      </w:r>
    </w:p>
    <w:p w14:paraId="5B16E2EA" w14:textId="77777777" w:rsidR="002E01BC" w:rsidRDefault="002E01BC" w:rsidP="002E01BC">
      <w:pPr>
        <w:spacing w:after="0" w:line="240" w:lineRule="auto"/>
      </w:pPr>
    </w:p>
    <w:p w14:paraId="6D76C30A" w14:textId="180C0FCA" w:rsidR="00B75044" w:rsidRDefault="002E01BC" w:rsidP="002E01BC">
      <w:pPr>
        <w:spacing w:after="0" w:line="240" w:lineRule="auto"/>
      </w:pPr>
      <w:r>
        <w:t>On appeal, the United States Court of Appeals for the First Circuit reviewed the facility’s statutory creation and governance, noting that the Central Falls Detention Facility Corporation, a municipal entity, owns and operates Wyatt. The court found that, although the facility houses federal detainees under contract, it remains a municipal institution and its employees are municipal actors. The First Circuit held that the complaint plausibly alleged action under color of state law, making the defendants potentially liable under § 1983. The court reversed the district court’s dismissal and remanded for further proceedings.</w:t>
      </w:r>
    </w:p>
    <w:p w14:paraId="5DB03191" w14:textId="77777777" w:rsidR="002E01BC" w:rsidRDefault="002E01BC" w:rsidP="002E01BC">
      <w:pPr>
        <w:spacing w:after="0" w:line="240" w:lineRule="auto"/>
      </w:pPr>
    </w:p>
    <w:p w14:paraId="4C3A0A78" w14:textId="3F5E90C0" w:rsidR="002E01BC" w:rsidRDefault="00000000" w:rsidP="002E01BC">
      <w:pPr>
        <w:spacing w:after="0" w:line="240" w:lineRule="auto"/>
      </w:pPr>
      <w:hyperlink r:id="rId7" w:history="1">
        <w:r w:rsidR="002E01BC" w:rsidRPr="0002308F">
          <w:rPr>
            <w:rStyle w:val="Hyperlink"/>
          </w:rPr>
          <w:t>https://cases.justia.com/federal/appellate-courts/ca1/24-1390/24-1390-2025-10-29.pdf</w:t>
        </w:r>
      </w:hyperlink>
      <w:r w:rsidR="002E01BC">
        <w:t xml:space="preserve"> </w:t>
      </w:r>
    </w:p>
    <w:p w14:paraId="2731F3A0" w14:textId="77777777" w:rsidR="002E01BC" w:rsidRDefault="002E01BC" w:rsidP="002E01BC">
      <w:pPr>
        <w:spacing w:after="0" w:line="240" w:lineRule="auto"/>
      </w:pPr>
    </w:p>
    <w:p w14:paraId="60C5BB72" w14:textId="77777777" w:rsidR="002E01BC" w:rsidRDefault="002E01BC" w:rsidP="002E01BC">
      <w:pPr>
        <w:spacing w:after="0" w:line="240" w:lineRule="auto"/>
      </w:pPr>
    </w:p>
    <w:sectPr w:rsidR="002E01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DDD"/>
    <w:rsid w:val="00143DAB"/>
    <w:rsid w:val="002E01BC"/>
    <w:rsid w:val="00442568"/>
    <w:rsid w:val="00460EA1"/>
    <w:rsid w:val="004C6606"/>
    <w:rsid w:val="004E3816"/>
    <w:rsid w:val="00570746"/>
    <w:rsid w:val="00675C04"/>
    <w:rsid w:val="007C4FD2"/>
    <w:rsid w:val="00A85605"/>
    <w:rsid w:val="00B75044"/>
    <w:rsid w:val="00C85AA5"/>
    <w:rsid w:val="00D41EC4"/>
    <w:rsid w:val="00DE5DDD"/>
    <w:rsid w:val="00FD2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DF4CD"/>
  <w15:chartTrackingRefBased/>
  <w15:docId w15:val="{EF6390E3-0156-4B0E-A278-983E6DE7E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D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5D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5D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5D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5D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5D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D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D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D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D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5D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5D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5D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5D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5D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D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D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DDD"/>
    <w:rPr>
      <w:rFonts w:eastAsiaTheme="majorEastAsia" w:cstheme="majorBidi"/>
      <w:color w:val="272727" w:themeColor="text1" w:themeTint="D8"/>
    </w:rPr>
  </w:style>
  <w:style w:type="paragraph" w:styleId="Title">
    <w:name w:val="Title"/>
    <w:basedOn w:val="Normal"/>
    <w:next w:val="Normal"/>
    <w:link w:val="TitleChar"/>
    <w:uiPriority w:val="10"/>
    <w:qFormat/>
    <w:rsid w:val="00DE5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D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D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D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DDD"/>
    <w:pPr>
      <w:spacing w:before="160"/>
      <w:jc w:val="center"/>
    </w:pPr>
    <w:rPr>
      <w:i/>
      <w:iCs/>
      <w:color w:val="404040" w:themeColor="text1" w:themeTint="BF"/>
    </w:rPr>
  </w:style>
  <w:style w:type="character" w:customStyle="1" w:styleId="QuoteChar">
    <w:name w:val="Quote Char"/>
    <w:basedOn w:val="DefaultParagraphFont"/>
    <w:link w:val="Quote"/>
    <w:uiPriority w:val="29"/>
    <w:rsid w:val="00DE5DDD"/>
    <w:rPr>
      <w:i/>
      <w:iCs/>
      <w:color w:val="404040" w:themeColor="text1" w:themeTint="BF"/>
    </w:rPr>
  </w:style>
  <w:style w:type="paragraph" w:styleId="ListParagraph">
    <w:name w:val="List Paragraph"/>
    <w:basedOn w:val="Normal"/>
    <w:uiPriority w:val="34"/>
    <w:qFormat/>
    <w:rsid w:val="00DE5DDD"/>
    <w:pPr>
      <w:ind w:left="720"/>
      <w:contextualSpacing/>
    </w:pPr>
  </w:style>
  <w:style w:type="character" w:styleId="IntenseEmphasis">
    <w:name w:val="Intense Emphasis"/>
    <w:basedOn w:val="DefaultParagraphFont"/>
    <w:uiPriority w:val="21"/>
    <w:qFormat/>
    <w:rsid w:val="00DE5DDD"/>
    <w:rPr>
      <w:i/>
      <w:iCs/>
      <w:color w:val="0F4761" w:themeColor="accent1" w:themeShade="BF"/>
    </w:rPr>
  </w:style>
  <w:style w:type="paragraph" w:styleId="IntenseQuote">
    <w:name w:val="Intense Quote"/>
    <w:basedOn w:val="Normal"/>
    <w:next w:val="Normal"/>
    <w:link w:val="IntenseQuoteChar"/>
    <w:uiPriority w:val="30"/>
    <w:qFormat/>
    <w:rsid w:val="00DE5D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5DDD"/>
    <w:rPr>
      <w:i/>
      <w:iCs/>
      <w:color w:val="0F4761" w:themeColor="accent1" w:themeShade="BF"/>
    </w:rPr>
  </w:style>
  <w:style w:type="character" w:styleId="IntenseReference">
    <w:name w:val="Intense Reference"/>
    <w:basedOn w:val="DefaultParagraphFont"/>
    <w:uiPriority w:val="32"/>
    <w:qFormat/>
    <w:rsid w:val="00DE5DDD"/>
    <w:rPr>
      <w:b/>
      <w:bCs/>
      <w:smallCaps/>
      <w:color w:val="0F4761" w:themeColor="accent1" w:themeShade="BF"/>
      <w:spacing w:val="5"/>
    </w:rPr>
  </w:style>
  <w:style w:type="character" w:styleId="Hyperlink">
    <w:name w:val="Hyperlink"/>
    <w:basedOn w:val="DefaultParagraphFont"/>
    <w:uiPriority w:val="99"/>
    <w:unhideWhenUsed/>
    <w:rsid w:val="00442568"/>
    <w:rPr>
      <w:color w:val="467886" w:themeColor="hyperlink"/>
      <w:u w:val="single"/>
    </w:rPr>
  </w:style>
  <w:style w:type="character" w:styleId="UnresolvedMention">
    <w:name w:val="Unresolved Mention"/>
    <w:basedOn w:val="DefaultParagraphFont"/>
    <w:uiPriority w:val="99"/>
    <w:semiHidden/>
    <w:unhideWhenUsed/>
    <w:rsid w:val="004425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cases.justia.com/federal/appellate-courts/ca1/24-1390/24-1390-2025-10-29.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ases.justia.com/texas/court-of-criminal-appeals/2025-pd-0841-24-0.pdf" TargetMode="External"/><Relationship Id="rId5" Type="http://schemas.openxmlformats.org/officeDocument/2006/relationships/hyperlink" Target="https://cases.justia.com/federal/appellate-courts/ca10/23-1399/23-1399-2025-10-28.pdf" TargetMode="External"/><Relationship Id="rId4" Type="http://schemas.openxmlformats.org/officeDocument/2006/relationships/hyperlink" Target="https://cases.justia.com/federal/appellate-courts/ca10/25-1050/25-1050-2025-10-29.pdf"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4</Pages>
  <Words>1332</Words>
  <Characters>7597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Barnard, Bruce-Alan</dc:creator>
  <cp:keywords/>
  <dc:description/>
  <cp:lastModifiedBy>Barnard, Bruce-Alan</cp:lastModifiedBy>
  <cp:revision>6</cp:revision>
  <dcterms:created xsi:type="dcterms:W3CDTF">2025-10-31T13:23:00Z</dcterms:created>
  <dcterms:modified xsi:type="dcterms:W3CDTF">2025-10-31T14:36:00Z</dcterms:modified>
</cp:coreProperties>
</file>