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431A4F" w14:textId="0F61C761" w:rsidR="00D41EC4" w:rsidRDefault="00794031" w:rsidP="006F623A">
      <w:pPr>
        <w:spacing w:after="0" w:line="240" w:lineRule="auto"/>
      </w:pPr>
      <w:r>
        <w:t>14NOV2025 CASES</w:t>
      </w:r>
    </w:p>
    <w:p w14:paraId="3B4C2D29" w14:textId="77777777" w:rsidR="00794031" w:rsidRDefault="00794031" w:rsidP="006F623A">
      <w:pPr>
        <w:spacing w:after="0" w:line="240" w:lineRule="auto"/>
      </w:pPr>
    </w:p>
    <w:p w14:paraId="70731981" w14:textId="71FAE127" w:rsidR="006F623A" w:rsidRPr="007C73DE" w:rsidRDefault="007C73DE" w:rsidP="006F623A">
      <w:pPr>
        <w:spacing w:after="0" w:line="240" w:lineRule="auto"/>
        <w:rPr>
          <w:b/>
          <w:bCs/>
        </w:rPr>
      </w:pPr>
      <w:proofErr w:type="spellStart"/>
      <w:r w:rsidRPr="007C73DE">
        <w:rPr>
          <w:b/>
          <w:bCs/>
        </w:rPr>
        <w:t>Hawatmeh</w:t>
      </w:r>
      <w:proofErr w:type="spellEnd"/>
      <w:r w:rsidRPr="007C73DE">
        <w:rPr>
          <w:b/>
          <w:bCs/>
        </w:rPr>
        <w:t xml:space="preserve"> v. City of Henderson</w:t>
      </w:r>
    </w:p>
    <w:p w14:paraId="4A77CEC2" w14:textId="77777777" w:rsidR="007C73DE" w:rsidRDefault="006F623A" w:rsidP="006F623A">
      <w:pPr>
        <w:spacing w:after="0" w:line="240" w:lineRule="auto"/>
      </w:pPr>
      <w:r>
        <w:t>U.S. Court of Appeals for the Ninth Circuit</w:t>
      </w:r>
    </w:p>
    <w:p w14:paraId="2F8DD5D7" w14:textId="7EC44429" w:rsidR="006F623A" w:rsidRDefault="006F623A" w:rsidP="006F623A">
      <w:pPr>
        <w:spacing w:after="0" w:line="240" w:lineRule="auto"/>
      </w:pPr>
      <w:r>
        <w:t>24-6146</w:t>
      </w:r>
    </w:p>
    <w:p w14:paraId="221566B3" w14:textId="2C488902" w:rsidR="006F623A" w:rsidRDefault="006F623A" w:rsidP="006F623A">
      <w:pPr>
        <w:spacing w:after="0" w:line="240" w:lineRule="auto"/>
      </w:pPr>
      <w:r>
        <w:t>November 7, 2025</w:t>
      </w:r>
    </w:p>
    <w:p w14:paraId="2A11B6F9" w14:textId="77777777" w:rsidR="006F623A" w:rsidRDefault="006F623A" w:rsidP="006F623A">
      <w:pPr>
        <w:spacing w:after="0" w:line="240" w:lineRule="auto"/>
      </w:pPr>
    </w:p>
    <w:p w14:paraId="43FD0764" w14:textId="2D667FDC" w:rsidR="006F623A" w:rsidRPr="007C73DE" w:rsidRDefault="006F623A" w:rsidP="006F623A">
      <w:pPr>
        <w:spacing w:after="0" w:line="240" w:lineRule="auto"/>
        <w:rPr>
          <w:i/>
          <w:iCs/>
        </w:rPr>
      </w:pPr>
      <w:r w:rsidRPr="007C73DE">
        <w:rPr>
          <w:i/>
          <w:iCs/>
        </w:rPr>
        <w:t xml:space="preserve">Summary: </w:t>
      </w:r>
      <w:r w:rsidR="00B614D6">
        <w:rPr>
          <w:i/>
          <w:iCs/>
        </w:rPr>
        <w:t>Boy was not seized and officers actions were not deliberately indifferent. 3-3, 9-4, 9-15</w:t>
      </w:r>
    </w:p>
    <w:p w14:paraId="5D1170C0" w14:textId="77777777" w:rsidR="006F623A" w:rsidRDefault="006F623A" w:rsidP="006F623A">
      <w:pPr>
        <w:spacing w:after="0" w:line="240" w:lineRule="auto"/>
      </w:pPr>
    </w:p>
    <w:p w14:paraId="011F6566" w14:textId="77777777" w:rsidR="006F623A" w:rsidRDefault="006F623A" w:rsidP="006F623A">
      <w:pPr>
        <w:spacing w:after="0" w:line="240" w:lineRule="auto"/>
      </w:pPr>
      <w:r>
        <w:t>A 12-year-old boy was killed by police officers during an attempt to rescue him from a neighbor who had already killed the boy’s mother and housekeeper, gravely wounded his sister, and was holding the boy hostage in a vehicle. The officers responded to multiple 911 calls, surrounded the vehicle, and attempted to negotiate with the hostage-taker, who was armed and making threats against the child’s life. After the hostage-taker was shot and killed by an officer, other officers fired additional shots, which resulted in the boy’s death.</w:t>
      </w:r>
    </w:p>
    <w:p w14:paraId="2C819FE5" w14:textId="77777777" w:rsidR="006F623A" w:rsidRDefault="006F623A" w:rsidP="006F623A">
      <w:pPr>
        <w:spacing w:after="0" w:line="240" w:lineRule="auto"/>
      </w:pPr>
    </w:p>
    <w:p w14:paraId="03DFE39F" w14:textId="58F1A086" w:rsidR="006F623A" w:rsidRDefault="006F623A" w:rsidP="006F623A">
      <w:pPr>
        <w:spacing w:after="0" w:line="240" w:lineRule="auto"/>
      </w:pPr>
      <w:r>
        <w:t xml:space="preserve">The boy’s father, siblings, and estate filed a </w:t>
      </w:r>
      <w:r w:rsidR="007C73DE">
        <w:t xml:space="preserve">§1983 federal civil </w:t>
      </w:r>
      <w:r>
        <w:t xml:space="preserve">lawsuit in the United States District Court for the District of Nevada against the city, police department, and individual officers. They alleged violation of the Fourth Amendment </w:t>
      </w:r>
      <w:r w:rsidR="007C73DE">
        <w:t xml:space="preserve">for </w:t>
      </w:r>
      <w:r>
        <w:t xml:space="preserve">excessive </w:t>
      </w:r>
      <w:r w:rsidR="007C73DE">
        <w:t xml:space="preserve">use of </w:t>
      </w:r>
      <w:r>
        <w:t xml:space="preserve">force, </w:t>
      </w:r>
      <w:r w:rsidR="007C73DE">
        <w:t xml:space="preserve">violation of the </w:t>
      </w:r>
      <w:r>
        <w:t>Fourteenth Amendment</w:t>
      </w:r>
      <w:r w:rsidR="007C73DE">
        <w:t xml:space="preserve"> for deliberate indifference</w:t>
      </w:r>
      <w:r>
        <w:t xml:space="preserve">, a </w:t>
      </w:r>
      <w:r w:rsidRPr="007C73DE">
        <w:rPr>
          <w:i/>
          <w:iCs/>
        </w:rPr>
        <w:t>Monell</w:t>
      </w:r>
      <w:r>
        <w:t xml:space="preserve"> claim</w:t>
      </w:r>
      <w:r w:rsidR="007C73DE">
        <w:t xml:space="preserve"> against the city</w:t>
      </w:r>
      <w:r>
        <w:t xml:space="preserve"> for failure to train, </w:t>
      </w:r>
      <w:r w:rsidR="007C73DE">
        <w:t xml:space="preserve">as well as various pendant </w:t>
      </w:r>
      <w:r>
        <w:t xml:space="preserve">state law claims. The district court dismissed the federal claims with prejudice, finding that the officers had not seized the boy for Fourth Amendment purposes, had not acted with deliberate indifference or intent to harm for Fourteenth Amendment purposes, and that the </w:t>
      </w:r>
      <w:r w:rsidRPr="007C73DE">
        <w:rPr>
          <w:i/>
          <w:iCs/>
        </w:rPr>
        <w:t>Monell</w:t>
      </w:r>
      <w:r>
        <w:t xml:space="preserve"> claim failed in the absence of a constitutional violation.</w:t>
      </w:r>
    </w:p>
    <w:p w14:paraId="3F2BF80E" w14:textId="77777777" w:rsidR="006F623A" w:rsidRDefault="006F623A" w:rsidP="006F623A">
      <w:pPr>
        <w:spacing w:after="0" w:line="240" w:lineRule="auto"/>
      </w:pPr>
    </w:p>
    <w:p w14:paraId="23A023E4" w14:textId="0BB9D5E9" w:rsidR="00794031" w:rsidRDefault="006F623A" w:rsidP="006F623A">
      <w:pPr>
        <w:spacing w:after="0" w:line="240" w:lineRule="auto"/>
      </w:pPr>
      <w:r>
        <w:t xml:space="preserve">On appeal, the United States Court of Appeals for the Ninth Circuit held that the officers did not violate the boy’s Fourth Amendment rights because their actions during the active hostage situation did not constitute a seizure, and even if a violation had occurred, qualified immunity would apply as the right was not clearly established. The court also found no Fourteenth Amendment violation, as the officers’ actions did not </w:t>
      </w:r>
      <w:r w:rsidR="007C73DE">
        <w:t>“</w:t>
      </w:r>
      <w:r>
        <w:t>shock the conscience</w:t>
      </w:r>
      <w:r w:rsidR="007C73DE">
        <w:t>”</w:t>
      </w:r>
      <w:r>
        <w:t xml:space="preserve"> or demonstrate deliberate indifference, and qualified immunity would apply. The </w:t>
      </w:r>
      <w:r w:rsidRPr="007C73DE">
        <w:rPr>
          <w:i/>
          <w:iCs/>
        </w:rPr>
        <w:t>Monell</w:t>
      </w:r>
      <w:r>
        <w:t xml:space="preserve"> claim failed due to the absence of an underlying constitutional violation.</w:t>
      </w:r>
    </w:p>
    <w:p w14:paraId="64CEA2DC" w14:textId="77777777" w:rsidR="006F623A" w:rsidRDefault="006F623A" w:rsidP="006F623A">
      <w:pPr>
        <w:spacing w:after="0" w:line="240" w:lineRule="auto"/>
      </w:pPr>
    </w:p>
    <w:p w14:paraId="5D27416B" w14:textId="4002E000" w:rsidR="006F623A" w:rsidRDefault="006F623A" w:rsidP="006F623A">
      <w:pPr>
        <w:spacing w:after="0" w:line="240" w:lineRule="auto"/>
      </w:pPr>
      <w:hyperlink r:id="rId4" w:history="1">
        <w:r w:rsidRPr="001C785F">
          <w:rPr>
            <w:rStyle w:val="Hyperlink"/>
          </w:rPr>
          <w:t>https://cases.justia.com/federal/appellate-courts/ca9/24-6146/24-6146-2025-11-07.pdf</w:t>
        </w:r>
      </w:hyperlink>
      <w:r>
        <w:t xml:space="preserve"> </w:t>
      </w:r>
    </w:p>
    <w:p w14:paraId="60AF9552" w14:textId="77777777" w:rsidR="006F623A" w:rsidRDefault="006F623A" w:rsidP="006F623A">
      <w:pPr>
        <w:spacing w:after="0" w:line="240" w:lineRule="auto"/>
      </w:pPr>
    </w:p>
    <w:p w14:paraId="68DEF1E9" w14:textId="77777777" w:rsidR="006F623A" w:rsidRDefault="006F623A" w:rsidP="006F623A">
      <w:pPr>
        <w:spacing w:after="0" w:line="240" w:lineRule="auto"/>
      </w:pPr>
    </w:p>
    <w:p w14:paraId="616DBDBD" w14:textId="77777777" w:rsidR="007C73DE" w:rsidRDefault="007C73DE">
      <w:r>
        <w:br w:type="page"/>
      </w:r>
    </w:p>
    <w:p w14:paraId="5C9776A7" w14:textId="73500F74" w:rsidR="006F623A" w:rsidRPr="007C73DE" w:rsidRDefault="006F623A" w:rsidP="006F623A">
      <w:pPr>
        <w:spacing w:after="0" w:line="240" w:lineRule="auto"/>
        <w:rPr>
          <w:b/>
          <w:bCs/>
        </w:rPr>
      </w:pPr>
      <w:r w:rsidRPr="007C73DE">
        <w:rPr>
          <w:b/>
          <w:bCs/>
        </w:rPr>
        <w:lastRenderedPageBreak/>
        <w:t>State of West Virginia v. Allman</w:t>
      </w:r>
    </w:p>
    <w:p w14:paraId="25A818D9" w14:textId="247F0F00" w:rsidR="006F623A" w:rsidRDefault="006F623A" w:rsidP="006F623A">
      <w:pPr>
        <w:spacing w:after="0" w:line="240" w:lineRule="auto"/>
      </w:pPr>
      <w:r>
        <w:t>Supreme Court of Appeals of West Virginia</w:t>
      </w:r>
    </w:p>
    <w:p w14:paraId="50F2C5A9" w14:textId="396F2E45" w:rsidR="006F623A" w:rsidRDefault="006F623A" w:rsidP="006F623A">
      <w:pPr>
        <w:spacing w:after="0" w:line="240" w:lineRule="auto"/>
      </w:pPr>
      <w:r>
        <w:t>November 12, 2025</w:t>
      </w:r>
    </w:p>
    <w:p w14:paraId="0C95BBD7" w14:textId="77777777" w:rsidR="006F623A" w:rsidRDefault="006F623A" w:rsidP="006F623A">
      <w:pPr>
        <w:spacing w:after="0" w:line="240" w:lineRule="auto"/>
      </w:pPr>
    </w:p>
    <w:p w14:paraId="43A2CC49" w14:textId="184093E8" w:rsidR="006F623A" w:rsidRPr="007C73DE" w:rsidRDefault="007C73DE" w:rsidP="006F623A">
      <w:pPr>
        <w:spacing w:after="0" w:line="240" w:lineRule="auto"/>
        <w:rPr>
          <w:i/>
          <w:iCs/>
        </w:rPr>
      </w:pPr>
      <w:r w:rsidRPr="007C73DE">
        <w:rPr>
          <w:i/>
          <w:iCs/>
        </w:rPr>
        <w:t xml:space="preserve">Summary: </w:t>
      </w:r>
      <w:r w:rsidR="00B614D6">
        <w:rPr>
          <w:i/>
          <w:iCs/>
        </w:rPr>
        <w:t>Search incident to arrest of backpack was unlawful because arrestee was handcuffed and had no access to it. 5-26</w:t>
      </w:r>
      <w:r w:rsidRPr="007C73DE">
        <w:rPr>
          <w:i/>
          <w:iCs/>
        </w:rPr>
        <w:t xml:space="preserve">         </w:t>
      </w:r>
    </w:p>
    <w:p w14:paraId="5783D5E0" w14:textId="77777777" w:rsidR="006F623A" w:rsidRDefault="006F623A" w:rsidP="006F623A">
      <w:pPr>
        <w:spacing w:after="0" w:line="240" w:lineRule="auto"/>
      </w:pPr>
    </w:p>
    <w:p w14:paraId="77B0C58B" w14:textId="77777777" w:rsidR="006F623A" w:rsidRDefault="006F623A" w:rsidP="006F623A">
      <w:pPr>
        <w:spacing w:after="0" w:line="240" w:lineRule="auto"/>
      </w:pPr>
      <w:r>
        <w:t>On June 4, 2022, a Parkersburg police officer arrested Michael Keith Allman pursuant to an outstanding warrant. At the time of arrest, Mr. Allman was carrying a backpack, which he set down before being handcuffed. After backup officers arrived and secured the scene, police searched the backpack and discovered drugs, digital scales, and ammunition. These items formed the basis for multiple charges against Mr. Allman, including felony possession of controlled substances with intent to deliver, possession of a firearm by a prohibited person, and related offenses.</w:t>
      </w:r>
    </w:p>
    <w:p w14:paraId="53975729" w14:textId="77777777" w:rsidR="006F623A" w:rsidRDefault="006F623A" w:rsidP="006F623A">
      <w:pPr>
        <w:spacing w:after="0" w:line="240" w:lineRule="auto"/>
      </w:pPr>
    </w:p>
    <w:p w14:paraId="6FF7AEDC" w14:textId="77777777" w:rsidR="006F623A" w:rsidRDefault="006F623A" w:rsidP="006F623A">
      <w:pPr>
        <w:spacing w:after="0" w:line="240" w:lineRule="auto"/>
      </w:pPr>
      <w:r>
        <w:t>Following indictment by a Wood County Grand Jury, Mr. Allman moved to suppress the evidence found in the backpack, arguing that the warrantless search violated his rights under the Fourth Amendment and the West Virginia Constitution. The Circuit Court of Wood County held a suppression hearing, where the arresting officer testified about the circumstances of the arrest and search. The circuit court denied the motion to suppress, finding that the search was lawful as incident to arrest and justified by concerns for officer safety and preservation of evidence. Mr. Allman was subsequently convicted by a jury on all counts and sentenced.</w:t>
      </w:r>
    </w:p>
    <w:p w14:paraId="0BFC2E81" w14:textId="77777777" w:rsidR="006F623A" w:rsidRDefault="006F623A" w:rsidP="006F623A">
      <w:pPr>
        <w:spacing w:after="0" w:line="240" w:lineRule="auto"/>
      </w:pPr>
    </w:p>
    <w:p w14:paraId="53EDECA9" w14:textId="465F65C2" w:rsidR="006F623A" w:rsidRDefault="00B614D6" w:rsidP="006F623A">
      <w:pPr>
        <w:spacing w:after="0" w:line="240" w:lineRule="auto"/>
      </w:pPr>
      <w:r>
        <w:t>On appeal, t</w:t>
      </w:r>
      <w:r w:rsidR="006F623A">
        <w:t>he Supreme Court of Appeals of West Virginia held that, although the seizure of the backpack was lawful, the warrantless search was not justified as a search incident to arrest because Mr. Allman was handcuffed and the backpack was not within his immediate control at the time of the search. The court found no applicable exception to the warrant requirement and concluded that the search violated Mr. Allman’s reasonable expectation of privacy. The court vacated Mr. Allman’s drug-related convictions and remanded the case for further proceedings consistent with its opinion.</w:t>
      </w:r>
    </w:p>
    <w:p w14:paraId="2B00B33E" w14:textId="77777777" w:rsidR="006F623A" w:rsidRDefault="006F623A" w:rsidP="006F623A">
      <w:pPr>
        <w:spacing w:after="0" w:line="240" w:lineRule="auto"/>
      </w:pPr>
    </w:p>
    <w:p w14:paraId="0B71772A" w14:textId="13ACD8A1" w:rsidR="006F623A" w:rsidRDefault="006F623A" w:rsidP="006F623A">
      <w:pPr>
        <w:spacing w:after="0" w:line="240" w:lineRule="auto"/>
      </w:pPr>
      <w:hyperlink r:id="rId5" w:history="1">
        <w:r w:rsidRPr="001C785F">
          <w:rPr>
            <w:rStyle w:val="Hyperlink"/>
          </w:rPr>
          <w:t>https://cases.justia.com/west-virginia/supreme-court/2025-23-421.pdf</w:t>
        </w:r>
      </w:hyperlink>
      <w:r>
        <w:t xml:space="preserve"> </w:t>
      </w:r>
    </w:p>
    <w:p w14:paraId="1A2A4CBA" w14:textId="77777777" w:rsidR="006E78DD" w:rsidRDefault="006E78DD">
      <w:r>
        <w:br w:type="page"/>
      </w:r>
    </w:p>
    <w:tbl>
      <w:tblPr>
        <w:tblpPr w:leftFromText="45" w:rightFromText="45" w:vertAnchor="text"/>
        <w:tblW w:w="5000" w:type="pct"/>
        <w:shd w:val="clear" w:color="auto" w:fill="FFFFFF"/>
        <w:tblCellMar>
          <w:left w:w="0" w:type="dxa"/>
          <w:right w:w="0" w:type="dxa"/>
        </w:tblCellMar>
        <w:tblLook w:val="04A0" w:firstRow="1" w:lastRow="0" w:firstColumn="1" w:lastColumn="0" w:noHBand="0" w:noVBand="1"/>
      </w:tblPr>
      <w:tblGrid>
        <w:gridCol w:w="9360"/>
      </w:tblGrid>
      <w:tr w:rsidR="003B4B5E" w:rsidRPr="003B4B5E" w14:paraId="7098975F" w14:textId="77777777" w:rsidTr="003B4B5E">
        <w:tc>
          <w:tcPr>
            <w:tcW w:w="0" w:type="auto"/>
            <w:shd w:val="clear" w:color="auto" w:fill="FFFFFF"/>
            <w:tcMar>
              <w:top w:w="225" w:type="dxa"/>
              <w:left w:w="0" w:type="dxa"/>
              <w:bottom w:w="225" w:type="dxa"/>
              <w:right w:w="0" w:type="dxa"/>
            </w:tcMar>
            <w:vAlign w:val="center"/>
            <w:hideMark/>
          </w:tcPr>
          <w:p w14:paraId="7B329E19" w14:textId="7A65458E" w:rsidR="00B614D6" w:rsidRDefault="00B614D6" w:rsidP="00B614D6">
            <w:pPr>
              <w:spacing w:after="0" w:line="240" w:lineRule="auto"/>
            </w:pPr>
          </w:p>
          <w:p w14:paraId="621E145F" w14:textId="4CB29CB5" w:rsidR="00B614D6" w:rsidRPr="006E78DD" w:rsidRDefault="00B614D6" w:rsidP="00B614D6">
            <w:pPr>
              <w:spacing w:after="0" w:line="240" w:lineRule="auto"/>
              <w:rPr>
                <w:b/>
                <w:bCs/>
              </w:rPr>
            </w:pPr>
            <w:proofErr w:type="spellStart"/>
            <w:r w:rsidRPr="006E78DD">
              <w:rPr>
                <w:b/>
                <w:bCs/>
              </w:rPr>
              <w:t>Aprileo</w:t>
            </w:r>
            <w:proofErr w:type="spellEnd"/>
            <w:r w:rsidRPr="006E78DD">
              <w:rPr>
                <w:b/>
                <w:bCs/>
              </w:rPr>
              <w:t xml:space="preserve"> v. </w:t>
            </w:r>
            <w:proofErr w:type="spellStart"/>
            <w:r w:rsidRPr="006E78DD">
              <w:rPr>
                <w:b/>
                <w:bCs/>
              </w:rPr>
              <w:t>Clapprood</w:t>
            </w:r>
            <w:proofErr w:type="spellEnd"/>
          </w:p>
          <w:p w14:paraId="37006AB0" w14:textId="1469DBDF" w:rsidR="00B614D6" w:rsidRDefault="00B614D6" w:rsidP="00B614D6">
            <w:pPr>
              <w:spacing w:after="0" w:line="240" w:lineRule="auto"/>
            </w:pPr>
            <w:r>
              <w:t>U.S. Court of Appeals for the First Circuit</w:t>
            </w:r>
          </w:p>
          <w:p w14:paraId="2609A42D" w14:textId="7BF1CBA9" w:rsidR="00B614D6" w:rsidRDefault="00B614D6" w:rsidP="00B614D6">
            <w:pPr>
              <w:spacing w:after="0" w:line="240" w:lineRule="auto"/>
            </w:pPr>
            <w:r>
              <w:t>24-2081</w:t>
            </w:r>
          </w:p>
          <w:p w14:paraId="5AEC1BB3" w14:textId="4B10652A" w:rsidR="00B614D6" w:rsidRDefault="00B614D6" w:rsidP="00B614D6">
            <w:pPr>
              <w:spacing w:after="0" w:line="240" w:lineRule="auto"/>
            </w:pPr>
            <w:r>
              <w:t>November 10, 2025</w:t>
            </w:r>
          </w:p>
          <w:p w14:paraId="65C06C4D" w14:textId="77777777" w:rsidR="00B614D6" w:rsidRDefault="00B614D6" w:rsidP="00B614D6">
            <w:pPr>
              <w:spacing w:after="0" w:line="240" w:lineRule="auto"/>
            </w:pPr>
          </w:p>
          <w:p w14:paraId="25B1965C" w14:textId="4E21AD32" w:rsidR="006E78DD" w:rsidRPr="006E78DD" w:rsidRDefault="006E78DD" w:rsidP="00B614D6">
            <w:pPr>
              <w:spacing w:after="0" w:line="240" w:lineRule="auto"/>
            </w:pPr>
            <w:r w:rsidRPr="006E78DD">
              <w:rPr>
                <w:i/>
                <w:iCs/>
              </w:rPr>
              <w:t xml:space="preserve">Summary:  </w:t>
            </w:r>
            <w:r w:rsidR="00111F97" w:rsidRPr="003B4B5E">
              <w:t xml:space="preserve"> </w:t>
            </w:r>
            <w:r w:rsidR="00111F97">
              <w:rPr>
                <w:i/>
                <w:iCs/>
              </w:rPr>
              <w:t>Th</w:t>
            </w:r>
            <w:r w:rsidR="00111F97" w:rsidRPr="003B4B5E">
              <w:rPr>
                <w:i/>
                <w:iCs/>
              </w:rPr>
              <w:t>e Heck bar does not apply when there is no underlying criminal conviction or sentence.</w:t>
            </w:r>
            <w:r w:rsidRPr="00111F97">
              <w:rPr>
                <w:i/>
                <w:iCs/>
              </w:rPr>
              <w:t xml:space="preserve">     </w:t>
            </w:r>
            <w:r w:rsidR="00111F97" w:rsidRPr="00111F97">
              <w:rPr>
                <w:i/>
                <w:iCs/>
              </w:rPr>
              <w:t>9-12</w:t>
            </w:r>
            <w:r w:rsidRPr="006E78DD">
              <w:t xml:space="preserve">     </w:t>
            </w:r>
          </w:p>
          <w:p w14:paraId="44CFFE8D" w14:textId="77777777" w:rsidR="006E78DD" w:rsidRDefault="006E78DD" w:rsidP="00B614D6">
            <w:pPr>
              <w:spacing w:after="0" w:line="240" w:lineRule="auto"/>
            </w:pPr>
          </w:p>
          <w:p w14:paraId="4AB72F26" w14:textId="1054F116" w:rsidR="003B4B5E" w:rsidRPr="003B4B5E" w:rsidRDefault="003B4B5E" w:rsidP="00B614D6">
            <w:pPr>
              <w:spacing w:after="0" w:line="240" w:lineRule="auto"/>
            </w:pPr>
            <w:r w:rsidRPr="003B4B5E">
              <w:t>In 2018, the plaintiff contacted police to help resolve a dispute at her home involving her adult children. After officers arrived and de-escalated the situation, a third officer arrived, and a disagreement between the plaintiff and this officer led to her arrest. She was charged with resisting arrest, disorderly conduct, and assault and battery on a police officer. Rather than pleading guilty or going to trial, the plaintiff entered into an agreement under Massachusetts law for three months of pretrial probation, with the understanding that the charges would be dismissed upon successful completion. She did not admit to any wrongdoing or facts, and after completing probation, the charges were dismissed.</w:t>
            </w:r>
            <w:r w:rsidRPr="003B4B5E">
              <w:br/>
            </w:r>
            <w:r w:rsidRPr="003B4B5E">
              <w:br/>
              <w:t>The plaintiff later filed a lawsuit in state court against the City of Springfield and several police officers, alleging civil rights violations under 42 U.S.C. § 1983, including excessive force during her arrest. The defendants removed the case to the United States District Court for the District of Massachusetts and moved for summary judgment, arguing that the plaintiff’s claims were barred by the doctrine established in Heck v. Humphrey, which prevents § 1983 claims that would impugn a valid criminal judgment. The district court denied summary judgment on this ground for two officers, holding that the Heck bar did not apply because the plaintiff was not convicted.</w:t>
            </w:r>
            <w:r w:rsidRPr="003B4B5E">
              <w:br/>
            </w:r>
            <w:r w:rsidRPr="003B4B5E">
              <w:br/>
              <w:t>On appeal, the United States Court of Appeals for the First Circuit affirmed the district court’s decision. The court held that the Heck bar does not apply when there is no underlying criminal conviction or sentence. Because the plaintiff’s charges were dismissed after pretrial probation without any admission of guilt or factual findings, her § 1983 claims could proceed. The case was remanded for further proceedings.</w:t>
            </w:r>
          </w:p>
        </w:tc>
      </w:tr>
    </w:tbl>
    <w:p w14:paraId="2B40DB7A" w14:textId="5B6A6DD6" w:rsidR="006F623A" w:rsidRDefault="003B4B5E" w:rsidP="006F623A">
      <w:pPr>
        <w:spacing w:after="0" w:line="240" w:lineRule="auto"/>
      </w:pPr>
      <w:hyperlink r:id="rId6" w:history="1">
        <w:r w:rsidRPr="001C785F">
          <w:rPr>
            <w:rStyle w:val="Hyperlink"/>
          </w:rPr>
          <w:t>https://cases.justia.com/federal/appellate-courts/ca1/24-2081/24-2081-2025-11-10.pdf</w:t>
        </w:r>
      </w:hyperlink>
      <w:r>
        <w:t xml:space="preserve"> </w:t>
      </w:r>
    </w:p>
    <w:p w14:paraId="48A5D05C" w14:textId="77777777" w:rsidR="003B4B5E" w:rsidRDefault="003B4B5E" w:rsidP="006F623A">
      <w:pPr>
        <w:spacing w:after="0" w:line="240" w:lineRule="auto"/>
      </w:pPr>
    </w:p>
    <w:p w14:paraId="0A2140C3" w14:textId="77777777" w:rsidR="003B4B5E" w:rsidRDefault="003B4B5E" w:rsidP="006F623A">
      <w:pPr>
        <w:spacing w:after="0" w:line="240" w:lineRule="auto"/>
      </w:pPr>
    </w:p>
    <w:p w14:paraId="7703E241" w14:textId="77777777" w:rsidR="00111F97" w:rsidRDefault="00111F97">
      <w:r>
        <w:br w:type="page"/>
      </w:r>
    </w:p>
    <w:p w14:paraId="46D80B1F" w14:textId="25F30497" w:rsidR="003B4B5E" w:rsidRPr="00111F97" w:rsidRDefault="003B4B5E" w:rsidP="003B4B5E">
      <w:pPr>
        <w:spacing w:after="0" w:line="240" w:lineRule="auto"/>
        <w:rPr>
          <w:b/>
          <w:bCs/>
        </w:rPr>
      </w:pPr>
      <w:r w:rsidRPr="00111F97">
        <w:rPr>
          <w:b/>
          <w:bCs/>
        </w:rPr>
        <w:lastRenderedPageBreak/>
        <w:t>Estate of Lewis v. City of Columbus, Ohio</w:t>
      </w:r>
    </w:p>
    <w:p w14:paraId="5EE892E6" w14:textId="35352C83" w:rsidR="003B4B5E" w:rsidRDefault="003B4B5E" w:rsidP="003B4B5E">
      <w:pPr>
        <w:spacing w:after="0" w:line="240" w:lineRule="auto"/>
      </w:pPr>
      <w:r>
        <w:t>U.S. Court of Appeals for the Sixth Circuit</w:t>
      </w:r>
    </w:p>
    <w:p w14:paraId="2A99C221" w14:textId="6546B7CE" w:rsidR="003B4B5E" w:rsidRDefault="003B4B5E" w:rsidP="003B4B5E">
      <w:pPr>
        <w:spacing w:after="0" w:line="240" w:lineRule="auto"/>
      </w:pPr>
      <w:r>
        <w:t>24-3846</w:t>
      </w:r>
    </w:p>
    <w:p w14:paraId="462970AF" w14:textId="07345D04" w:rsidR="003B4B5E" w:rsidRDefault="003B4B5E" w:rsidP="003B4B5E">
      <w:pPr>
        <w:spacing w:after="0" w:line="240" w:lineRule="auto"/>
      </w:pPr>
      <w:r>
        <w:t>November 7, 2025</w:t>
      </w:r>
    </w:p>
    <w:p w14:paraId="3ED4C4FD" w14:textId="77777777" w:rsidR="003B4B5E" w:rsidRDefault="003B4B5E" w:rsidP="003B4B5E">
      <w:pPr>
        <w:spacing w:after="0" w:line="240" w:lineRule="auto"/>
      </w:pPr>
    </w:p>
    <w:p w14:paraId="16A070EE" w14:textId="1EF20211" w:rsidR="003B4B5E" w:rsidRPr="00111F97" w:rsidRDefault="00111F97" w:rsidP="003B4B5E">
      <w:pPr>
        <w:spacing w:after="0" w:line="240" w:lineRule="auto"/>
        <w:rPr>
          <w:i/>
          <w:iCs/>
        </w:rPr>
      </w:pPr>
      <w:r w:rsidRPr="00111F97">
        <w:rPr>
          <w:i/>
          <w:iCs/>
        </w:rPr>
        <w:t xml:space="preserve">Summary:   </w:t>
      </w:r>
      <w:r w:rsidR="002378F7">
        <w:rPr>
          <w:i/>
          <w:iCs/>
        </w:rPr>
        <w:t>FOP has standing to intervene in case seeking specific performance contrary to CBA. 9-12</w:t>
      </w:r>
      <w:r w:rsidRPr="00111F97">
        <w:rPr>
          <w:i/>
          <w:iCs/>
        </w:rPr>
        <w:t xml:space="preserve">     </w:t>
      </w:r>
    </w:p>
    <w:p w14:paraId="241928FD" w14:textId="77777777" w:rsidR="003B4B5E" w:rsidRDefault="003B4B5E" w:rsidP="003B4B5E">
      <w:pPr>
        <w:spacing w:after="0" w:line="240" w:lineRule="auto"/>
      </w:pPr>
    </w:p>
    <w:p w14:paraId="7446332B" w14:textId="77777777" w:rsidR="003B4B5E" w:rsidRDefault="003B4B5E" w:rsidP="003B4B5E">
      <w:pPr>
        <w:spacing w:after="0" w:line="240" w:lineRule="auto"/>
      </w:pPr>
      <w:r>
        <w:t>Donovan Lewis, a twenty-year-old Black man, was fatally shot by a Columbus police officer while in bed at his apartment during an attempted arrest on outstanding warrants. His estate filed a civil rights lawsuit under 42 U.S.C. § 1983 against the City of Columbus and the police chief, alleging that the city’s police department maintained a policy or custom of racially discriminatory policing and excessive force, which led to Lewis’s death. The complaint sought damages and permanent injunctive relief, including specific reforms to police disciplinary and employment practices that were rooted in the collective bargaining agreement (CBA) negotiated by the Fraternal Order of Police (FOP), Capitol City Lodge #9.</w:t>
      </w:r>
    </w:p>
    <w:p w14:paraId="442600D7" w14:textId="77777777" w:rsidR="003B4B5E" w:rsidRDefault="003B4B5E" w:rsidP="003B4B5E">
      <w:pPr>
        <w:spacing w:after="0" w:line="240" w:lineRule="auto"/>
      </w:pPr>
    </w:p>
    <w:p w14:paraId="00FB1AA4" w14:textId="77777777" w:rsidR="003B4B5E" w:rsidRDefault="003B4B5E" w:rsidP="003B4B5E">
      <w:pPr>
        <w:spacing w:after="0" w:line="240" w:lineRule="auto"/>
      </w:pPr>
      <w:r>
        <w:t>After the estate initiated the suit, FOP moved to intervene as of right or, alternatively, permissively, arguing that the proposed reforms would violate the CBA and impact its legal obligations as the exclusive bargaining representative for Columbus police officers. The United States District Court for the Southern District of Ohio denied FOP’s motion without prejudice, finding that FOP had only a limited interest in the remedial phase and that any liability-phase interest was adequately represented by the City. The court invited FOP to renew its motion if the estate prevailed or if settlement discussions occurred.</w:t>
      </w:r>
    </w:p>
    <w:p w14:paraId="3C39B396" w14:textId="77777777" w:rsidR="003B4B5E" w:rsidRDefault="003B4B5E" w:rsidP="003B4B5E">
      <w:pPr>
        <w:spacing w:after="0" w:line="240" w:lineRule="auto"/>
      </w:pPr>
    </w:p>
    <w:p w14:paraId="70F68545" w14:textId="0A9E5CA0" w:rsidR="003B4B5E" w:rsidRDefault="003B4B5E" w:rsidP="003B4B5E">
      <w:pPr>
        <w:spacing w:after="0" w:line="240" w:lineRule="auto"/>
      </w:pPr>
      <w:r>
        <w:t>On appeal, the United States Court of Appeals for the Sixth Circuit held that FOP satisfied all requirements for intervention as of right under Federal Rule of Civil Procedure 24(a)(2): FOP demonstrated a substantial legal interest in the subject matter, impairment of its interests absent intervention, and that the City may not adequately represent those interests. The court concluded that FOP should be allowed to intervene in all phases of the litigation and reversed the district court’s denial of intervention.</w:t>
      </w:r>
    </w:p>
    <w:p w14:paraId="5B5FB649" w14:textId="77777777" w:rsidR="003B4B5E" w:rsidRDefault="003B4B5E" w:rsidP="003B4B5E">
      <w:pPr>
        <w:spacing w:after="0" w:line="240" w:lineRule="auto"/>
      </w:pPr>
    </w:p>
    <w:p w14:paraId="2BA969D2" w14:textId="3FFED88D" w:rsidR="003B4B5E" w:rsidRDefault="003B4B5E" w:rsidP="003B4B5E">
      <w:pPr>
        <w:spacing w:after="0" w:line="240" w:lineRule="auto"/>
      </w:pPr>
      <w:hyperlink r:id="rId7" w:history="1">
        <w:r w:rsidRPr="001C785F">
          <w:rPr>
            <w:rStyle w:val="Hyperlink"/>
          </w:rPr>
          <w:t>https://cases.justia.com/federal/appellate-courts/ca6/24-3846/24-3846-2025-11-07.pdf</w:t>
        </w:r>
      </w:hyperlink>
      <w:r>
        <w:t xml:space="preserve">  </w:t>
      </w:r>
    </w:p>
    <w:p w14:paraId="5A5E82A2" w14:textId="77777777" w:rsidR="003B4B5E" w:rsidRDefault="003B4B5E" w:rsidP="003B4B5E">
      <w:pPr>
        <w:spacing w:after="0" w:line="240" w:lineRule="auto"/>
      </w:pPr>
    </w:p>
    <w:p w14:paraId="33D6DB5C" w14:textId="77777777" w:rsidR="003B4B5E" w:rsidRDefault="003B4B5E" w:rsidP="003B4B5E">
      <w:pPr>
        <w:spacing w:after="0" w:line="240" w:lineRule="auto"/>
      </w:pPr>
    </w:p>
    <w:p w14:paraId="1F7C8FD8" w14:textId="77777777" w:rsidR="003B4B5E" w:rsidRDefault="003B4B5E" w:rsidP="003B4B5E">
      <w:pPr>
        <w:spacing w:after="0" w:line="240" w:lineRule="auto"/>
      </w:pPr>
    </w:p>
    <w:p w14:paraId="0B55BF81" w14:textId="77777777" w:rsidR="003B4B5E" w:rsidRDefault="003B4B5E" w:rsidP="003B4B5E">
      <w:pPr>
        <w:spacing w:after="0" w:line="240" w:lineRule="auto"/>
      </w:pPr>
    </w:p>
    <w:p w14:paraId="6A03D424" w14:textId="77777777" w:rsidR="003B4B5E" w:rsidRDefault="003B4B5E" w:rsidP="003B4B5E">
      <w:pPr>
        <w:spacing w:after="0" w:line="240" w:lineRule="auto"/>
      </w:pPr>
    </w:p>
    <w:p w14:paraId="1B454FB1" w14:textId="77777777" w:rsidR="00111F97" w:rsidRDefault="00111F97">
      <w:r>
        <w:br w:type="page"/>
      </w:r>
    </w:p>
    <w:p w14:paraId="2DE373F4" w14:textId="247AEF91" w:rsidR="003B4B5E" w:rsidRPr="00111F97" w:rsidRDefault="003B4B5E" w:rsidP="003B4B5E">
      <w:pPr>
        <w:spacing w:after="0" w:line="240" w:lineRule="auto"/>
        <w:rPr>
          <w:b/>
          <w:bCs/>
        </w:rPr>
      </w:pPr>
      <w:r w:rsidRPr="00111F97">
        <w:rPr>
          <w:b/>
          <w:bCs/>
        </w:rPr>
        <w:lastRenderedPageBreak/>
        <w:t>Hernandez v. Superior Court</w:t>
      </w:r>
    </w:p>
    <w:p w14:paraId="0F3D3089" w14:textId="2C4280DC" w:rsidR="003B4B5E" w:rsidRDefault="003B4B5E" w:rsidP="003B4B5E">
      <w:pPr>
        <w:spacing w:after="0" w:line="240" w:lineRule="auto"/>
      </w:pPr>
      <w:r>
        <w:t>California Courts of Appeal</w:t>
      </w:r>
    </w:p>
    <w:p w14:paraId="09E70154" w14:textId="0E5635BE" w:rsidR="003B4B5E" w:rsidRDefault="003B4B5E" w:rsidP="003B4B5E">
      <w:pPr>
        <w:spacing w:after="0" w:line="240" w:lineRule="auto"/>
      </w:pPr>
      <w:r>
        <w:t>November 10, 2025</w:t>
      </w:r>
    </w:p>
    <w:p w14:paraId="7E2AA364" w14:textId="77777777" w:rsidR="003B4B5E" w:rsidRDefault="003B4B5E" w:rsidP="003B4B5E">
      <w:pPr>
        <w:spacing w:after="0" w:line="240" w:lineRule="auto"/>
      </w:pPr>
    </w:p>
    <w:p w14:paraId="0C89A493" w14:textId="67B44A96" w:rsidR="003B4B5E" w:rsidRPr="00111F97" w:rsidRDefault="00111F97" w:rsidP="003B4B5E">
      <w:pPr>
        <w:spacing w:after="0" w:line="240" w:lineRule="auto"/>
        <w:rPr>
          <w:i/>
          <w:iCs/>
        </w:rPr>
      </w:pPr>
      <w:r w:rsidRPr="00111F97">
        <w:rPr>
          <w:i/>
          <w:iCs/>
        </w:rPr>
        <w:t xml:space="preserve">Summary:  </w:t>
      </w:r>
      <w:r w:rsidR="002378F7">
        <w:rPr>
          <w:i/>
          <w:iCs/>
        </w:rPr>
        <w:t>O</w:t>
      </w:r>
      <w:r w:rsidR="002378F7" w:rsidRPr="002378F7">
        <w:rPr>
          <w:i/>
          <w:iCs/>
        </w:rPr>
        <w:t>fficers’ language and conduct</w:t>
      </w:r>
      <w:r w:rsidR="002378F7">
        <w:rPr>
          <w:i/>
          <w:iCs/>
        </w:rPr>
        <w:t xml:space="preserve"> demonstrated </w:t>
      </w:r>
      <w:r w:rsidR="002378F7" w:rsidRPr="002378F7">
        <w:rPr>
          <w:i/>
          <w:iCs/>
        </w:rPr>
        <w:t xml:space="preserve">a substantial likelihood that law </w:t>
      </w:r>
      <w:r w:rsidR="002378F7">
        <w:rPr>
          <w:i/>
          <w:iCs/>
        </w:rPr>
        <w:t>it was</w:t>
      </w:r>
      <w:r w:rsidR="002378F7" w:rsidRPr="002378F7">
        <w:rPr>
          <w:i/>
          <w:iCs/>
        </w:rPr>
        <w:t xml:space="preserve"> bias based on race, ethnicity, or national origin</w:t>
      </w:r>
      <w:r w:rsidR="002378F7">
        <w:rPr>
          <w:i/>
          <w:iCs/>
        </w:rPr>
        <w:t xml:space="preserve"> in violation of California RJA.</w:t>
      </w:r>
      <w:r w:rsidR="002378F7" w:rsidRPr="002378F7">
        <w:rPr>
          <w:i/>
          <w:iCs/>
        </w:rPr>
        <w:t xml:space="preserve"> </w:t>
      </w:r>
      <w:r w:rsidRPr="00111F97">
        <w:rPr>
          <w:i/>
          <w:iCs/>
        </w:rPr>
        <w:t xml:space="preserve"> </w:t>
      </w:r>
      <w:r w:rsidR="002378F7">
        <w:rPr>
          <w:i/>
          <w:iCs/>
        </w:rPr>
        <w:t>9-8, 9-9</w:t>
      </w:r>
      <w:r w:rsidRPr="00111F97">
        <w:rPr>
          <w:i/>
          <w:iCs/>
        </w:rPr>
        <w:t xml:space="preserve">           </w:t>
      </w:r>
    </w:p>
    <w:p w14:paraId="177B4823" w14:textId="77777777" w:rsidR="003B4B5E" w:rsidRDefault="003B4B5E" w:rsidP="003B4B5E">
      <w:pPr>
        <w:spacing w:after="0" w:line="240" w:lineRule="auto"/>
      </w:pPr>
    </w:p>
    <w:p w14:paraId="6F8B2B0C" w14:textId="77777777" w:rsidR="003B4B5E" w:rsidRDefault="003B4B5E" w:rsidP="003B4B5E">
      <w:pPr>
        <w:spacing w:after="0" w:line="240" w:lineRule="auto"/>
      </w:pPr>
      <w:r>
        <w:t>A man was charged with illegal possession of ammunition after police stopped a car in which he was a passenger late at night, citing a non-functioning license plate light and tinted windows. During the stop, officers asked both occupants if they were on parole or probation, ordered them out of the vehicle, and conducted pat searches, citing low lighting and baggy clothing as reasons. A search of a backpack near the passenger seat revealed ammunition and documents with the passenger’s name. The passenger, who had prior felony convictions, was arrested. During the encounter, officers used slang and whistled at both the passenger and two Latino men passing by.</w:t>
      </w:r>
    </w:p>
    <w:p w14:paraId="48FF5E60" w14:textId="77777777" w:rsidR="003B4B5E" w:rsidRDefault="003B4B5E" w:rsidP="003B4B5E">
      <w:pPr>
        <w:spacing w:after="0" w:line="240" w:lineRule="auto"/>
      </w:pPr>
    </w:p>
    <w:p w14:paraId="07D45BD3" w14:textId="77777777" w:rsidR="003B4B5E" w:rsidRDefault="003B4B5E" w:rsidP="003B4B5E">
      <w:pPr>
        <w:spacing w:after="0" w:line="240" w:lineRule="auto"/>
      </w:pPr>
      <w:r>
        <w:t>The Santa Clara County Superior Court initially denied the passenger’s motion under the California Racial Justice Act (RJA), finding he had not made a prima facie showing that the officers’ actions were motivated by racial bias. After the California Court of Appeal issued an alternative writ requiring reconsideration and a detailed ruling on all claims, the trial court again denied the motion, concluding that the allegations were conclusory or unsupported.</w:t>
      </w:r>
    </w:p>
    <w:p w14:paraId="78D3640C" w14:textId="77777777" w:rsidR="003B4B5E" w:rsidRDefault="003B4B5E" w:rsidP="003B4B5E">
      <w:pPr>
        <w:spacing w:after="0" w:line="240" w:lineRule="auto"/>
      </w:pPr>
    </w:p>
    <w:p w14:paraId="6547637C" w14:textId="4397B445" w:rsidR="003B4B5E" w:rsidRDefault="003B4B5E" w:rsidP="003B4B5E">
      <w:pPr>
        <w:spacing w:after="0" w:line="240" w:lineRule="auto"/>
      </w:pPr>
      <w:r>
        <w:t>The California Court of Appeal, Sixth Appellate District</w:t>
      </w:r>
      <w:r w:rsidR="002378F7">
        <w:t xml:space="preserve"> </w:t>
      </w:r>
      <w:r>
        <w:t>held that the passenger had made a prima facie showing under the RJA. The court found that, when considering the totality of the facts—including expert testimony, statistical evidence, and the officers’ language and conduct—there was a substantial likelihood that law enforcement exhibited bias based on race, ethnicity, or national origin. The court clarified that at the prima facie stage, the trial court should not weigh evidence or make credibility determinations, but should accept the truth of the movant’s factual allegations unless they are conclusory or contradicted by the record. The appellate court issued a writ directing the trial court to hold an evidentiary hearing on the RJA motion.</w:t>
      </w:r>
    </w:p>
    <w:p w14:paraId="71060105" w14:textId="77777777" w:rsidR="003B4B5E" w:rsidRDefault="003B4B5E" w:rsidP="003B4B5E">
      <w:pPr>
        <w:spacing w:after="0" w:line="240" w:lineRule="auto"/>
      </w:pPr>
    </w:p>
    <w:p w14:paraId="64AF9E2F" w14:textId="6F2F980C" w:rsidR="003B4B5E" w:rsidRDefault="003B4B5E" w:rsidP="003B4B5E">
      <w:pPr>
        <w:spacing w:after="0" w:line="240" w:lineRule="auto"/>
      </w:pPr>
      <w:hyperlink r:id="rId8" w:history="1">
        <w:r w:rsidRPr="001C785F">
          <w:rPr>
            <w:rStyle w:val="Hyperlink"/>
          </w:rPr>
          <w:t>https://cases.justia.com/california/court-of-appeal/2025-h052774.pdf</w:t>
        </w:r>
      </w:hyperlink>
      <w:r>
        <w:t xml:space="preserve">   </w:t>
      </w:r>
    </w:p>
    <w:p w14:paraId="772D7367" w14:textId="77777777" w:rsidR="003B4B5E" w:rsidRDefault="003B4B5E" w:rsidP="003B4B5E">
      <w:pPr>
        <w:spacing w:after="0" w:line="240" w:lineRule="auto"/>
      </w:pPr>
    </w:p>
    <w:p w14:paraId="5FF50D44" w14:textId="77777777" w:rsidR="006F623A" w:rsidRDefault="006F623A" w:rsidP="006F623A">
      <w:pPr>
        <w:spacing w:after="0" w:line="240" w:lineRule="auto"/>
      </w:pPr>
    </w:p>
    <w:p w14:paraId="53FF3187" w14:textId="77777777" w:rsidR="006F623A" w:rsidRDefault="006F623A" w:rsidP="006F623A">
      <w:pPr>
        <w:spacing w:after="0" w:line="240" w:lineRule="auto"/>
      </w:pPr>
    </w:p>
    <w:p w14:paraId="4A8CD790" w14:textId="77777777" w:rsidR="006F623A" w:rsidRDefault="006F623A" w:rsidP="006F623A">
      <w:pPr>
        <w:spacing w:after="0" w:line="240" w:lineRule="auto"/>
      </w:pPr>
    </w:p>
    <w:p w14:paraId="015AA4A9" w14:textId="77777777" w:rsidR="006F623A" w:rsidRDefault="006F623A" w:rsidP="006F623A">
      <w:pPr>
        <w:spacing w:after="0" w:line="240" w:lineRule="auto"/>
      </w:pPr>
    </w:p>
    <w:p w14:paraId="70FC52E5" w14:textId="77777777" w:rsidR="006F623A" w:rsidRDefault="006F623A" w:rsidP="006F623A">
      <w:pPr>
        <w:spacing w:after="0" w:line="240" w:lineRule="auto"/>
      </w:pPr>
    </w:p>
    <w:sectPr w:rsidR="006F62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031"/>
    <w:rsid w:val="00111F97"/>
    <w:rsid w:val="002378F7"/>
    <w:rsid w:val="003B4B5E"/>
    <w:rsid w:val="004E3816"/>
    <w:rsid w:val="00570746"/>
    <w:rsid w:val="006E78DD"/>
    <w:rsid w:val="006F623A"/>
    <w:rsid w:val="00794031"/>
    <w:rsid w:val="007C73DE"/>
    <w:rsid w:val="009A0F9D"/>
    <w:rsid w:val="00B614D6"/>
    <w:rsid w:val="00D4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5320F0"/>
  <w15:chartTrackingRefBased/>
  <w15:docId w15:val="{D69EA385-71AF-4C30-AFEC-D686081CAB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4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940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940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0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0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0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0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0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0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0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0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0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0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0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0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0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031"/>
    <w:rPr>
      <w:rFonts w:eastAsiaTheme="majorEastAsia" w:cstheme="majorBidi"/>
      <w:color w:val="272727" w:themeColor="text1" w:themeTint="D8"/>
    </w:rPr>
  </w:style>
  <w:style w:type="paragraph" w:styleId="Title">
    <w:name w:val="Title"/>
    <w:basedOn w:val="Normal"/>
    <w:next w:val="Normal"/>
    <w:link w:val="TitleChar"/>
    <w:uiPriority w:val="10"/>
    <w:qFormat/>
    <w:rsid w:val="00794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0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0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0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031"/>
    <w:pPr>
      <w:spacing w:before="160"/>
      <w:jc w:val="center"/>
    </w:pPr>
    <w:rPr>
      <w:i/>
      <w:iCs/>
      <w:color w:val="404040" w:themeColor="text1" w:themeTint="BF"/>
    </w:rPr>
  </w:style>
  <w:style w:type="character" w:customStyle="1" w:styleId="QuoteChar">
    <w:name w:val="Quote Char"/>
    <w:basedOn w:val="DefaultParagraphFont"/>
    <w:link w:val="Quote"/>
    <w:uiPriority w:val="29"/>
    <w:rsid w:val="00794031"/>
    <w:rPr>
      <w:i/>
      <w:iCs/>
      <w:color w:val="404040" w:themeColor="text1" w:themeTint="BF"/>
    </w:rPr>
  </w:style>
  <w:style w:type="paragraph" w:styleId="ListParagraph">
    <w:name w:val="List Paragraph"/>
    <w:basedOn w:val="Normal"/>
    <w:uiPriority w:val="34"/>
    <w:qFormat/>
    <w:rsid w:val="00794031"/>
    <w:pPr>
      <w:ind w:left="720"/>
      <w:contextualSpacing/>
    </w:pPr>
  </w:style>
  <w:style w:type="character" w:styleId="IntenseEmphasis">
    <w:name w:val="Intense Emphasis"/>
    <w:basedOn w:val="DefaultParagraphFont"/>
    <w:uiPriority w:val="21"/>
    <w:qFormat/>
    <w:rsid w:val="00794031"/>
    <w:rPr>
      <w:i/>
      <w:iCs/>
      <w:color w:val="0F4761" w:themeColor="accent1" w:themeShade="BF"/>
    </w:rPr>
  </w:style>
  <w:style w:type="paragraph" w:styleId="IntenseQuote">
    <w:name w:val="Intense Quote"/>
    <w:basedOn w:val="Normal"/>
    <w:next w:val="Normal"/>
    <w:link w:val="IntenseQuoteChar"/>
    <w:uiPriority w:val="30"/>
    <w:qFormat/>
    <w:rsid w:val="00794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031"/>
    <w:rPr>
      <w:i/>
      <w:iCs/>
      <w:color w:val="0F4761" w:themeColor="accent1" w:themeShade="BF"/>
    </w:rPr>
  </w:style>
  <w:style w:type="character" w:styleId="IntenseReference">
    <w:name w:val="Intense Reference"/>
    <w:basedOn w:val="DefaultParagraphFont"/>
    <w:uiPriority w:val="32"/>
    <w:qFormat/>
    <w:rsid w:val="00794031"/>
    <w:rPr>
      <w:b/>
      <w:bCs/>
      <w:smallCaps/>
      <w:color w:val="0F4761" w:themeColor="accent1" w:themeShade="BF"/>
      <w:spacing w:val="5"/>
    </w:rPr>
  </w:style>
  <w:style w:type="character" w:styleId="Hyperlink">
    <w:name w:val="Hyperlink"/>
    <w:basedOn w:val="DefaultParagraphFont"/>
    <w:uiPriority w:val="99"/>
    <w:unhideWhenUsed/>
    <w:rsid w:val="006F623A"/>
    <w:rPr>
      <w:color w:val="467886" w:themeColor="hyperlink"/>
      <w:u w:val="single"/>
    </w:rPr>
  </w:style>
  <w:style w:type="character" w:styleId="UnresolvedMention">
    <w:name w:val="Unresolved Mention"/>
    <w:basedOn w:val="DefaultParagraphFont"/>
    <w:uiPriority w:val="99"/>
    <w:semiHidden/>
    <w:unhideWhenUsed/>
    <w:rsid w:val="006F623A"/>
    <w:rPr>
      <w:color w:val="605E5C"/>
      <w:shd w:val="clear" w:color="auto" w:fill="E1DFDD"/>
    </w:rPr>
  </w:style>
  <w:style w:type="character" w:styleId="CommentReference">
    <w:name w:val="annotation reference"/>
    <w:basedOn w:val="DefaultParagraphFont"/>
    <w:uiPriority w:val="99"/>
    <w:semiHidden/>
    <w:unhideWhenUsed/>
    <w:rsid w:val="00B614D6"/>
    <w:rPr>
      <w:sz w:val="16"/>
      <w:szCs w:val="16"/>
    </w:rPr>
  </w:style>
  <w:style w:type="paragraph" w:styleId="CommentText">
    <w:name w:val="annotation text"/>
    <w:basedOn w:val="Normal"/>
    <w:link w:val="CommentTextChar"/>
    <w:uiPriority w:val="99"/>
    <w:semiHidden/>
    <w:unhideWhenUsed/>
    <w:rsid w:val="00B614D6"/>
    <w:pPr>
      <w:spacing w:line="240" w:lineRule="auto"/>
    </w:pPr>
    <w:rPr>
      <w:sz w:val="20"/>
      <w:szCs w:val="20"/>
    </w:rPr>
  </w:style>
  <w:style w:type="character" w:customStyle="1" w:styleId="CommentTextChar">
    <w:name w:val="Comment Text Char"/>
    <w:basedOn w:val="DefaultParagraphFont"/>
    <w:link w:val="CommentText"/>
    <w:uiPriority w:val="99"/>
    <w:semiHidden/>
    <w:rsid w:val="00B614D6"/>
    <w:rPr>
      <w:sz w:val="20"/>
      <w:szCs w:val="20"/>
    </w:rPr>
  </w:style>
  <w:style w:type="paragraph" w:styleId="CommentSubject">
    <w:name w:val="annotation subject"/>
    <w:basedOn w:val="CommentText"/>
    <w:next w:val="CommentText"/>
    <w:link w:val="CommentSubjectChar"/>
    <w:uiPriority w:val="99"/>
    <w:semiHidden/>
    <w:unhideWhenUsed/>
    <w:rsid w:val="00B614D6"/>
    <w:rPr>
      <w:b/>
      <w:bCs/>
    </w:rPr>
  </w:style>
  <w:style w:type="character" w:customStyle="1" w:styleId="CommentSubjectChar">
    <w:name w:val="Comment Subject Char"/>
    <w:basedOn w:val="CommentTextChar"/>
    <w:link w:val="CommentSubject"/>
    <w:uiPriority w:val="99"/>
    <w:semiHidden/>
    <w:rsid w:val="00B614D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15472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california/court-of-appeal/2025-h052774.pdf" TargetMode="External"/><Relationship Id="rId3" Type="http://schemas.openxmlformats.org/officeDocument/2006/relationships/webSettings" Target="webSettings.xml"/><Relationship Id="rId7" Type="http://schemas.openxmlformats.org/officeDocument/2006/relationships/hyperlink" Target="https://cases.justia.com/federal/appellate-courts/ca6/24-3846/24-3846-2025-11-07.pdf"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ases.justia.com/federal/appellate-courts/ca1/24-2081/24-2081-2025-11-10.pdf" TargetMode="External"/><Relationship Id="rId5" Type="http://schemas.openxmlformats.org/officeDocument/2006/relationships/hyperlink" Target="https://cases.justia.com/west-virginia/supreme-court/2025-23-421.pdf" TargetMode="External"/><Relationship Id="rId10" Type="http://schemas.openxmlformats.org/officeDocument/2006/relationships/theme" Target="theme/theme1.xml"/><Relationship Id="rId4" Type="http://schemas.openxmlformats.org/officeDocument/2006/relationships/hyperlink" Target="https://cases.justia.com/federal/appellate-courts/ca9/24-6146/24-6146-2025-11-07.pdf"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85</TotalTime>
  <Pages>5</Pages>
  <Words>1688</Words>
  <Characters>9622</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Barnard, Bruce-Alan</dc:creator>
  <cp:keywords/>
  <dc:description/>
  <cp:lastModifiedBy>Barnard, Bruce-Alan</cp:lastModifiedBy>
  <cp:revision>3</cp:revision>
  <dcterms:created xsi:type="dcterms:W3CDTF">2025-11-14T15:50:00Z</dcterms:created>
  <dcterms:modified xsi:type="dcterms:W3CDTF">2025-11-14T17:16:00Z</dcterms:modified>
</cp:coreProperties>
</file>