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D2349" w14:textId="15C7A452" w:rsidR="00D41EC4" w:rsidRDefault="0064035F">
      <w:r>
        <w:t>21NOV2025 Cases</w:t>
      </w:r>
    </w:p>
    <w:p w14:paraId="36B36BE1" w14:textId="77777777" w:rsidR="00DF0E9E" w:rsidRPr="00DF0E9E" w:rsidRDefault="00DF0E9E" w:rsidP="00DF0E9E">
      <w:pPr>
        <w:spacing w:after="0" w:line="240" w:lineRule="auto"/>
        <w:rPr>
          <w:b/>
          <w:bCs/>
        </w:rPr>
      </w:pPr>
      <w:r w:rsidRPr="00DF0E9E">
        <w:rPr>
          <w:b/>
          <w:bCs/>
        </w:rPr>
        <w:t>Thompson v. Wilson</w:t>
      </w:r>
    </w:p>
    <w:p w14:paraId="1F4713E9" w14:textId="573D4C8C" w:rsidR="00DF0E9E" w:rsidRDefault="00DF0E9E" w:rsidP="00DF0E9E">
      <w:pPr>
        <w:spacing w:after="0" w:line="240" w:lineRule="auto"/>
      </w:pPr>
      <w:r>
        <w:t>U.S. Court of Appeals for the First Circuit</w:t>
      </w:r>
    </w:p>
    <w:p w14:paraId="4344B550" w14:textId="65AE78CA" w:rsidR="00DF0E9E" w:rsidRDefault="00DF0E9E" w:rsidP="00DF0E9E">
      <w:pPr>
        <w:spacing w:after="0" w:line="240" w:lineRule="auto"/>
      </w:pPr>
      <w:r>
        <w:t>25-1007</w:t>
      </w:r>
    </w:p>
    <w:p w14:paraId="35C92A68" w14:textId="715CC6BB" w:rsidR="00DF0E9E" w:rsidRDefault="00DF0E9E" w:rsidP="00DF0E9E">
      <w:pPr>
        <w:spacing w:after="0" w:line="240" w:lineRule="auto"/>
      </w:pPr>
      <w:r>
        <w:t>November 18, 2025</w:t>
      </w:r>
    </w:p>
    <w:p w14:paraId="545D77CC" w14:textId="77777777" w:rsidR="00DF0E9E" w:rsidRDefault="00DF0E9E" w:rsidP="00DF0E9E">
      <w:pPr>
        <w:spacing w:after="0" w:line="240" w:lineRule="auto"/>
      </w:pPr>
    </w:p>
    <w:p w14:paraId="44AFFA57" w14:textId="085F8AD3" w:rsidR="00DF0E9E" w:rsidRPr="00DF0E9E" w:rsidRDefault="00DF0E9E" w:rsidP="00DF0E9E">
      <w:pPr>
        <w:spacing w:after="0" w:line="240" w:lineRule="auto"/>
        <w:rPr>
          <w:i/>
          <w:iCs/>
        </w:rPr>
      </w:pPr>
      <w:r w:rsidRPr="00DF0E9E">
        <w:rPr>
          <w:i/>
          <w:iCs/>
        </w:rPr>
        <w:t>Summary: Administrative Searches</w:t>
      </w:r>
    </w:p>
    <w:p w14:paraId="2E23B406" w14:textId="77777777" w:rsidR="00DF0E9E" w:rsidRDefault="00DF0E9E" w:rsidP="00DF0E9E">
      <w:pPr>
        <w:spacing w:after="0" w:line="240" w:lineRule="auto"/>
      </w:pPr>
    </w:p>
    <w:p w14:paraId="2ABE0A8B" w14:textId="77777777" w:rsidR="00DF0E9E" w:rsidRDefault="00DF0E9E" w:rsidP="00DF0E9E">
      <w:pPr>
        <w:spacing w:after="0" w:line="240" w:lineRule="auto"/>
      </w:pPr>
      <w:r>
        <w:t>A group of Maine lobstermen challenged a state rule requiring all federally permitted lobster fishers to install electronic tracking devices on their vessels, which transmit GPS location data whenever the vessels are in the water. This rule was adopted by the Maine Department of Marine Resources (MDMR) to comply with an addendum to the Atlantic States Marine Fisheries Commission’s American Lobster Fishery Management Plan. The addendum aimed to reduce risks to North Atlantic right whales, improve fishery data, and support regulatory enforcement. The tracking devices must remain powered and transmit data at all times, including when vessels are docked or used for personal purposes.</w:t>
      </w:r>
    </w:p>
    <w:p w14:paraId="57A75175" w14:textId="77777777" w:rsidR="00DF0E9E" w:rsidRDefault="00DF0E9E" w:rsidP="00DF0E9E">
      <w:pPr>
        <w:spacing w:after="0" w:line="240" w:lineRule="auto"/>
      </w:pPr>
    </w:p>
    <w:p w14:paraId="48ECE2F9" w14:textId="77777777" w:rsidR="00DF0E9E" w:rsidRDefault="00DF0E9E" w:rsidP="00DF0E9E">
      <w:pPr>
        <w:spacing w:after="0" w:line="240" w:lineRule="auto"/>
      </w:pPr>
      <w:r>
        <w:t>The plaintiffs filed suit in the United States District Court for the District of Maine, arguing that the MDMR Rule violated their rights under the Fourth Amendment, as well as equal protection and state administrative law. The district court granted the state’s motion to dismiss, holding that the plaintiffs failed to state a claim under the Fourth Amendment because the lobster fishery is a closely regulated industry and the rule was not unreasonably invasive. The court noted several concessions by the parties, including that the GPS tracking constituted a search, that the lobster industry is closely regulated, and that the search was administrative in nature.</w:t>
      </w:r>
    </w:p>
    <w:p w14:paraId="42CC52C2" w14:textId="77777777" w:rsidR="00DF0E9E" w:rsidRDefault="00DF0E9E" w:rsidP="00DF0E9E">
      <w:pPr>
        <w:spacing w:after="0" w:line="240" w:lineRule="auto"/>
      </w:pPr>
    </w:p>
    <w:p w14:paraId="648556AF" w14:textId="338FB053" w:rsidR="00DF0E9E" w:rsidRDefault="00DF0E9E" w:rsidP="00DF0E9E">
      <w:pPr>
        <w:spacing w:after="0" w:line="240" w:lineRule="auto"/>
      </w:pPr>
      <w:r>
        <w:t>On appeal, the United States Court of Appeals for the First Circuit reviewed the dismissal de novo. The court held that the lobster industry is a closely regulated industry and that the administrative search exception, as articulated in New York v. Burger, 482 U.S. 691 (1987), applied. The court found that the MDMR Rule satisfied the Burger test: it served a substantial government interest, warrantless searches were necessary to the regulatory scheme, and the rule provided a constitutionally adequate substitute for a warrant. The First Circuit affirmed the district court’s dismissal.</w:t>
      </w:r>
    </w:p>
    <w:p w14:paraId="0FF0B733" w14:textId="77777777" w:rsidR="00DF0E9E" w:rsidRDefault="00DF0E9E" w:rsidP="00DF0E9E">
      <w:pPr>
        <w:spacing w:after="0" w:line="240" w:lineRule="auto"/>
      </w:pPr>
    </w:p>
    <w:p w14:paraId="3C508B61" w14:textId="12A65145" w:rsidR="00DF0E9E" w:rsidRDefault="00DF0E9E" w:rsidP="00DF0E9E">
      <w:pPr>
        <w:spacing w:after="0" w:line="240" w:lineRule="auto"/>
      </w:pPr>
      <w:hyperlink r:id="rId4" w:history="1">
        <w:r w:rsidRPr="005F53E3">
          <w:rPr>
            <w:rStyle w:val="Hyperlink"/>
          </w:rPr>
          <w:t>https://cases.justia.com/federal/appellate-courts/ca1/25-1007/25-1007-2025-11-18.pdf</w:t>
        </w:r>
      </w:hyperlink>
      <w:r>
        <w:t xml:space="preserve"> </w:t>
      </w:r>
    </w:p>
    <w:p w14:paraId="2416EC1D" w14:textId="77777777" w:rsidR="00DF0E9E" w:rsidRDefault="00DF0E9E" w:rsidP="00DF0E9E">
      <w:pPr>
        <w:spacing w:after="0" w:line="240" w:lineRule="auto"/>
      </w:pPr>
    </w:p>
    <w:p w14:paraId="53411336" w14:textId="77777777" w:rsidR="00DF0E9E" w:rsidRDefault="00DF0E9E" w:rsidP="00DF0E9E">
      <w:pPr>
        <w:spacing w:after="0" w:line="240" w:lineRule="auto"/>
      </w:pPr>
    </w:p>
    <w:p w14:paraId="24AFE5E4" w14:textId="77777777" w:rsidR="00DF0E9E" w:rsidRDefault="00DF0E9E" w:rsidP="00DF0E9E">
      <w:pPr>
        <w:spacing w:after="0" w:line="240" w:lineRule="auto"/>
      </w:pPr>
    </w:p>
    <w:p w14:paraId="60771A51" w14:textId="77777777" w:rsidR="00DF0E9E" w:rsidRDefault="00DF0E9E">
      <w:r>
        <w:br w:type="page"/>
      </w:r>
    </w:p>
    <w:p w14:paraId="2B19A31F" w14:textId="50657CF1" w:rsidR="00DF0E9E" w:rsidRPr="00DF0E9E" w:rsidRDefault="00DF0E9E" w:rsidP="00DF0E9E">
      <w:pPr>
        <w:spacing w:after="0" w:line="240" w:lineRule="auto"/>
        <w:rPr>
          <w:b/>
          <w:bCs/>
        </w:rPr>
      </w:pPr>
      <w:proofErr w:type="spellStart"/>
      <w:r w:rsidRPr="00DF0E9E">
        <w:rPr>
          <w:b/>
          <w:bCs/>
        </w:rPr>
        <w:lastRenderedPageBreak/>
        <w:t>Keup</w:t>
      </w:r>
      <w:proofErr w:type="spellEnd"/>
      <w:r w:rsidRPr="00DF0E9E">
        <w:rPr>
          <w:b/>
          <w:bCs/>
        </w:rPr>
        <w:t xml:space="preserve"> v. Palmer</w:t>
      </w:r>
    </w:p>
    <w:p w14:paraId="679BD932" w14:textId="5B791D4A" w:rsidR="00DF0E9E" w:rsidRDefault="00DF0E9E" w:rsidP="00DF0E9E">
      <w:pPr>
        <w:spacing w:after="0" w:line="240" w:lineRule="auto"/>
      </w:pPr>
      <w:r>
        <w:t>U.S. Court of Appeals for the Eighth Circuit</w:t>
      </w:r>
    </w:p>
    <w:p w14:paraId="4B96B189" w14:textId="6C8EF473" w:rsidR="00DF0E9E" w:rsidRDefault="00DF0E9E" w:rsidP="00DF0E9E">
      <w:pPr>
        <w:spacing w:after="0" w:line="240" w:lineRule="auto"/>
      </w:pPr>
      <w:r>
        <w:t>24-1114</w:t>
      </w:r>
    </w:p>
    <w:p w14:paraId="150FB82E" w14:textId="09E1E26D" w:rsidR="00DF0E9E" w:rsidRDefault="00DF0E9E" w:rsidP="00DF0E9E">
      <w:pPr>
        <w:spacing w:after="0" w:line="240" w:lineRule="auto"/>
      </w:pPr>
      <w:r>
        <w:t>November 19, 2025</w:t>
      </w:r>
    </w:p>
    <w:p w14:paraId="171985C5" w14:textId="77777777" w:rsidR="00DF0E9E" w:rsidRDefault="00DF0E9E" w:rsidP="00DF0E9E">
      <w:pPr>
        <w:spacing w:after="0" w:line="240" w:lineRule="auto"/>
      </w:pPr>
    </w:p>
    <w:p w14:paraId="16BC26F0" w14:textId="172170F9" w:rsidR="00DF0E9E" w:rsidRPr="00DF0E9E" w:rsidRDefault="00DF0E9E" w:rsidP="00DF0E9E">
      <w:pPr>
        <w:spacing w:after="0" w:line="240" w:lineRule="auto"/>
        <w:rPr>
          <w:i/>
          <w:iCs/>
        </w:rPr>
      </w:pPr>
      <w:r w:rsidRPr="00DF0E9E">
        <w:rPr>
          <w:i/>
          <w:iCs/>
        </w:rPr>
        <w:t xml:space="preserve">Summary:       </w:t>
      </w:r>
    </w:p>
    <w:p w14:paraId="4B2E8028" w14:textId="77777777" w:rsidR="00DF0E9E" w:rsidRDefault="00DF0E9E" w:rsidP="00DF0E9E">
      <w:pPr>
        <w:spacing w:after="0" w:line="240" w:lineRule="auto"/>
      </w:pPr>
    </w:p>
    <w:p w14:paraId="51F7567F" w14:textId="77777777" w:rsidR="00DF0E9E" w:rsidRDefault="00DF0E9E" w:rsidP="00DF0E9E">
      <w:pPr>
        <w:spacing w:after="0" w:line="240" w:lineRule="auto"/>
      </w:pPr>
      <w:r>
        <w:t xml:space="preserve">During a protest in Omaha, Nebraska, following the death of George Floyd, law enforcement declared the gathering an unlawful assembly and ordered the crowd to disperse. Adam </w:t>
      </w:r>
      <w:proofErr w:type="spellStart"/>
      <w:r>
        <w:t>Keup</w:t>
      </w:r>
      <w:proofErr w:type="spellEnd"/>
      <w:r>
        <w:t xml:space="preserve">, who was present with his partner and friends to document the protest, was standing on a sidewalk near a Walgreens with a backpack containing camera equipment. Unaware of the dispersal order, </w:t>
      </w:r>
      <w:proofErr w:type="spellStart"/>
      <w:r>
        <w:t>Keup</w:t>
      </w:r>
      <w:proofErr w:type="spellEnd"/>
      <w:r>
        <w:t xml:space="preserve"> was shot in the eye with a pepper ball by Deputy Nicholas Palmer, resulting in permanent vision loss. After being shot, </w:t>
      </w:r>
      <w:proofErr w:type="spellStart"/>
      <w:r>
        <w:t>Keup</w:t>
      </w:r>
      <w:proofErr w:type="spellEnd"/>
      <w:r>
        <w:t xml:space="preserve"> was taken behind police lines for medical attention but was not arrested.</w:t>
      </w:r>
    </w:p>
    <w:p w14:paraId="18BE296B" w14:textId="77777777" w:rsidR="00DF0E9E" w:rsidRDefault="00DF0E9E" w:rsidP="00DF0E9E">
      <w:pPr>
        <w:spacing w:after="0" w:line="240" w:lineRule="auto"/>
      </w:pPr>
    </w:p>
    <w:p w14:paraId="5247BB32" w14:textId="77777777" w:rsidR="00DF0E9E" w:rsidRDefault="00DF0E9E" w:rsidP="00DF0E9E">
      <w:pPr>
        <w:spacing w:after="0" w:line="240" w:lineRule="auto"/>
      </w:pPr>
      <w:r>
        <w:t xml:space="preserve">The United States District Court for the District of Nebraska granted summary judgment in favor of Deputy Palmer, finding that he was entitled to qualified immunity on both the First and Fourth Amendment claims. The district court determined that </w:t>
      </w:r>
      <w:proofErr w:type="spellStart"/>
      <w:r>
        <w:t>Keup</w:t>
      </w:r>
      <w:proofErr w:type="spellEnd"/>
      <w:r>
        <w:t xml:space="preserve"> had not shown he was engaged in protected First Amendment activity that was the but-for cause of the force used against him, and that the use of the pepper ball and subsequent actions did not constitute a clearly established Fourth Amendment seizure.</w:t>
      </w:r>
    </w:p>
    <w:p w14:paraId="24E55863" w14:textId="77777777" w:rsidR="00DF0E9E" w:rsidRDefault="00DF0E9E" w:rsidP="00DF0E9E">
      <w:pPr>
        <w:spacing w:after="0" w:line="240" w:lineRule="auto"/>
      </w:pPr>
    </w:p>
    <w:p w14:paraId="79BFB826" w14:textId="0D7CA509" w:rsidR="00DF0E9E" w:rsidRDefault="00DF0E9E" w:rsidP="00DF0E9E">
      <w:pPr>
        <w:spacing w:after="0" w:line="240" w:lineRule="auto"/>
      </w:pPr>
      <w:r>
        <w:t xml:space="preserve">The United States Court of Appeals for the Eighth Circuit reviewed the case de novo and affirmed the district court’s judgment. The Eighth Circuit held that </w:t>
      </w:r>
      <w:proofErr w:type="spellStart"/>
      <w:r>
        <w:t>Keup</w:t>
      </w:r>
      <w:proofErr w:type="spellEnd"/>
      <w:r>
        <w:t xml:space="preserve"> failed to establish a causal connection between any protected First Amendment activity and Deputy Palmer’s actions, as there was no evidence </w:t>
      </w:r>
      <w:proofErr w:type="spellStart"/>
      <w:r>
        <w:t>Keup</w:t>
      </w:r>
      <w:proofErr w:type="spellEnd"/>
      <w:r>
        <w:t xml:space="preserve"> was singled out for his expression. Regarding the Fourth Amendment claim, the court concluded that the use of the pepper ball was intended to disperse, not to apprehend, and that taking </w:t>
      </w:r>
      <w:proofErr w:type="spellStart"/>
      <w:r>
        <w:t>Keup</w:t>
      </w:r>
      <w:proofErr w:type="spellEnd"/>
      <w:r>
        <w:t xml:space="preserve"> for medical care did not amount to an unreasonable seizure. Therefore, Deputy Palmer was entitled to qualified immunity, and the district court’s decision was affirmed.</w:t>
      </w:r>
    </w:p>
    <w:p w14:paraId="50A7D60A" w14:textId="77777777" w:rsidR="00DF0E9E" w:rsidRDefault="00DF0E9E" w:rsidP="00DF0E9E">
      <w:pPr>
        <w:spacing w:after="0" w:line="240" w:lineRule="auto"/>
      </w:pPr>
    </w:p>
    <w:p w14:paraId="79ABF378" w14:textId="4A236D79" w:rsidR="00DF0E9E" w:rsidRDefault="00DF0E9E" w:rsidP="00DF0E9E">
      <w:pPr>
        <w:spacing w:after="0" w:line="240" w:lineRule="auto"/>
      </w:pPr>
      <w:hyperlink r:id="rId5" w:history="1">
        <w:r w:rsidRPr="005F53E3">
          <w:rPr>
            <w:rStyle w:val="Hyperlink"/>
          </w:rPr>
          <w:t>https://cases.justia.com/federal/appellate-courts/ca8/24-1114/24-1114-2025-11-19.pdf</w:t>
        </w:r>
      </w:hyperlink>
      <w:r>
        <w:t xml:space="preserve">  </w:t>
      </w:r>
    </w:p>
    <w:p w14:paraId="41E945E6" w14:textId="77777777" w:rsidR="00DF0E9E" w:rsidRDefault="00DF0E9E" w:rsidP="00DF0E9E">
      <w:pPr>
        <w:spacing w:after="0" w:line="240" w:lineRule="auto"/>
      </w:pPr>
    </w:p>
    <w:p w14:paraId="738498B5" w14:textId="77777777" w:rsidR="00DF0E9E" w:rsidRDefault="00DF0E9E" w:rsidP="00DF0E9E">
      <w:pPr>
        <w:spacing w:after="0" w:line="240" w:lineRule="auto"/>
      </w:pPr>
    </w:p>
    <w:p w14:paraId="6A4AFF6D" w14:textId="5A35D881" w:rsidR="00DF0E9E" w:rsidRDefault="00DF0E9E">
      <w:r>
        <w:br w:type="page"/>
      </w:r>
    </w:p>
    <w:p w14:paraId="03849D7D" w14:textId="77777777" w:rsidR="00DF0E9E" w:rsidRPr="00DF0E9E" w:rsidRDefault="00DF0E9E" w:rsidP="00DF0E9E">
      <w:pPr>
        <w:spacing w:after="0" w:line="240" w:lineRule="auto"/>
        <w:rPr>
          <w:b/>
          <w:bCs/>
        </w:rPr>
      </w:pPr>
      <w:r w:rsidRPr="00DF0E9E">
        <w:rPr>
          <w:b/>
          <w:bCs/>
        </w:rPr>
        <w:lastRenderedPageBreak/>
        <w:t>Starks v. St. Louis County</w:t>
      </w:r>
    </w:p>
    <w:p w14:paraId="701DF84E" w14:textId="2D5DF7D1" w:rsidR="00DF0E9E" w:rsidRDefault="00DF0E9E" w:rsidP="00DF0E9E">
      <w:pPr>
        <w:spacing w:after="0" w:line="240" w:lineRule="auto"/>
      </w:pPr>
      <w:r>
        <w:t>U.S. Court of Appeals for the Eighth Circuit</w:t>
      </w:r>
    </w:p>
    <w:p w14:paraId="4930120A" w14:textId="5328C2A1" w:rsidR="00DF0E9E" w:rsidRDefault="00DF0E9E" w:rsidP="00DF0E9E">
      <w:pPr>
        <w:spacing w:after="0" w:line="240" w:lineRule="auto"/>
      </w:pPr>
      <w:r>
        <w:t>24-2540</w:t>
      </w:r>
    </w:p>
    <w:p w14:paraId="73AA3E15" w14:textId="7F12E2AF" w:rsidR="00DF0E9E" w:rsidRDefault="00DF0E9E" w:rsidP="00DF0E9E">
      <w:pPr>
        <w:spacing w:after="0" w:line="240" w:lineRule="auto"/>
      </w:pPr>
      <w:r>
        <w:t>November 18, 2025</w:t>
      </w:r>
    </w:p>
    <w:p w14:paraId="651C9B45" w14:textId="77777777" w:rsidR="00DF0E9E" w:rsidRDefault="00DF0E9E" w:rsidP="00DF0E9E">
      <w:pPr>
        <w:spacing w:after="0" w:line="240" w:lineRule="auto"/>
      </w:pPr>
    </w:p>
    <w:p w14:paraId="563595BB" w14:textId="22AD72A2" w:rsidR="00DF0E9E" w:rsidRPr="00DF0E9E" w:rsidRDefault="00DF0E9E" w:rsidP="00DF0E9E">
      <w:pPr>
        <w:spacing w:after="0" w:line="240" w:lineRule="auto"/>
        <w:rPr>
          <w:i/>
          <w:iCs/>
        </w:rPr>
      </w:pPr>
      <w:r w:rsidRPr="00DF0E9E">
        <w:rPr>
          <w:i/>
          <w:iCs/>
        </w:rPr>
        <w:t xml:space="preserve">Summary:    Jail deliberate indifference    </w:t>
      </w:r>
    </w:p>
    <w:p w14:paraId="60BDFE73" w14:textId="77777777" w:rsidR="00DF0E9E" w:rsidRDefault="00DF0E9E" w:rsidP="00DF0E9E">
      <w:pPr>
        <w:spacing w:after="0" w:line="240" w:lineRule="auto"/>
      </w:pPr>
    </w:p>
    <w:p w14:paraId="73D7619C" w14:textId="77777777" w:rsidR="00DF0E9E" w:rsidRDefault="00DF0E9E" w:rsidP="00DF0E9E">
      <w:pPr>
        <w:spacing w:after="0" w:line="240" w:lineRule="auto"/>
      </w:pPr>
      <w:r>
        <w:t>Drexel Starks was arrested for possession of a controlled substance and taken to the St. Louis County Justice Center, where he reported heroin withdrawal symptoms. Jail medical staff placed him on a withdrawal protocol, which included comfort medication and regular nurse assessments. Over the next day, nurses noted some improvement in his symptoms. However, there is no evidence of further assessments as required by protocol. On August 6, a correctional officer found Drexel on the floor with withdrawal symptoms; he was transferred to the infirmary and then to a hospital, where he died. The medical examiner attributed his death to withdrawal from heroin and cocaine, dehydration, and cardiac dysrhythmia.</w:t>
      </w:r>
    </w:p>
    <w:p w14:paraId="28C883BA" w14:textId="77777777" w:rsidR="00DF0E9E" w:rsidRDefault="00DF0E9E" w:rsidP="00DF0E9E">
      <w:pPr>
        <w:spacing w:after="0" w:line="240" w:lineRule="auto"/>
      </w:pPr>
    </w:p>
    <w:p w14:paraId="2F723955" w14:textId="77777777" w:rsidR="00DF0E9E" w:rsidRDefault="00DF0E9E" w:rsidP="00DF0E9E">
      <w:pPr>
        <w:spacing w:after="0" w:line="240" w:lineRule="auto"/>
      </w:pPr>
      <w:r>
        <w:t>Margaret Starks, Drexel’s mother, filed suit in the United States District Court for the Eastern District of Missouri under 42 U.S.C. § 1983, alleging that jail nurses and a correctional officer were deliberately indifferent to Drexel’s serious medical needs, and that nurse supervisors and St. Louis County failed to train or supervise staff and maintained an unlawful policy of denying medical care. The district court granted summary judgment for the defendants, finding that Margaret failed to establish a violation of Drexel’s constitutional rights.</w:t>
      </w:r>
    </w:p>
    <w:p w14:paraId="4C0E45A6" w14:textId="77777777" w:rsidR="00DF0E9E" w:rsidRDefault="00DF0E9E" w:rsidP="00DF0E9E">
      <w:pPr>
        <w:spacing w:after="0" w:line="240" w:lineRule="auto"/>
      </w:pPr>
    </w:p>
    <w:p w14:paraId="5EBFB9E2" w14:textId="5A92CDFD" w:rsidR="00DF0E9E" w:rsidRDefault="00DF0E9E" w:rsidP="00DF0E9E">
      <w:pPr>
        <w:spacing w:after="0" w:line="240" w:lineRule="auto"/>
      </w:pPr>
      <w:r>
        <w:t>The United States Court of Appeals for the Eighth Circuit reviewed the case de novo and affirmed the district court’s decision. The Eighth Circuit held that no reasonable jury could find Drexel had an objectively serious medical need that was obvious to a layperson or supported by medical evidence, nor that the defendants acted with deliberate indifference akin to criminal recklessness. The court also held that, absent an underlying constitutional violation, claims against the nurse supervisors and the County for failure to train or supervise, or for unlawful policy, could not succeed. The judgment of the district court was affirmed.</w:t>
      </w:r>
    </w:p>
    <w:p w14:paraId="4C4721CE" w14:textId="77777777" w:rsidR="00DF0E9E" w:rsidRDefault="00DF0E9E" w:rsidP="00DF0E9E">
      <w:pPr>
        <w:spacing w:after="0" w:line="240" w:lineRule="auto"/>
      </w:pPr>
    </w:p>
    <w:p w14:paraId="7E017A58" w14:textId="08A52BB4" w:rsidR="00DF0E9E" w:rsidRDefault="00BA34E0" w:rsidP="00DF0E9E">
      <w:pPr>
        <w:spacing w:after="0" w:line="240" w:lineRule="auto"/>
      </w:pPr>
      <w:hyperlink r:id="rId6" w:history="1">
        <w:r w:rsidRPr="005F53E3">
          <w:rPr>
            <w:rStyle w:val="Hyperlink"/>
          </w:rPr>
          <w:t>https://cases.justia.com/federal/appellate-courts/ca8/24-2540/24-2540-2025-11-18.pdf</w:t>
        </w:r>
      </w:hyperlink>
      <w:r>
        <w:t xml:space="preserve"> </w:t>
      </w:r>
    </w:p>
    <w:p w14:paraId="2C22CE99" w14:textId="77777777" w:rsidR="00BA34E0" w:rsidRDefault="00BA34E0" w:rsidP="00DF0E9E">
      <w:pPr>
        <w:spacing w:after="0" w:line="240" w:lineRule="auto"/>
      </w:pPr>
    </w:p>
    <w:p w14:paraId="4EA0717B" w14:textId="77777777" w:rsidR="00BA34E0" w:rsidRDefault="00BA34E0" w:rsidP="00DF0E9E">
      <w:pPr>
        <w:spacing w:after="0" w:line="240" w:lineRule="auto"/>
      </w:pPr>
    </w:p>
    <w:p w14:paraId="17C4D0AA" w14:textId="7485D91B" w:rsidR="00BA34E0" w:rsidRDefault="00BA34E0">
      <w:r>
        <w:br w:type="page"/>
      </w:r>
    </w:p>
    <w:p w14:paraId="4C798F9F" w14:textId="77777777" w:rsidR="00BA34E0" w:rsidRPr="00BA34E0" w:rsidRDefault="00BA34E0" w:rsidP="00BA34E0">
      <w:pPr>
        <w:spacing w:after="0" w:line="240" w:lineRule="auto"/>
        <w:rPr>
          <w:b/>
          <w:bCs/>
        </w:rPr>
      </w:pPr>
      <w:r w:rsidRPr="00BA34E0">
        <w:rPr>
          <w:b/>
          <w:bCs/>
        </w:rPr>
        <w:lastRenderedPageBreak/>
        <w:t xml:space="preserve">People v. </w:t>
      </w:r>
      <w:proofErr w:type="spellStart"/>
      <w:r w:rsidRPr="00BA34E0">
        <w:rPr>
          <w:b/>
          <w:bCs/>
        </w:rPr>
        <w:t>NavaAdame</w:t>
      </w:r>
      <w:proofErr w:type="spellEnd"/>
    </w:p>
    <w:p w14:paraId="675960E3" w14:textId="3A9F8CB9" w:rsidR="00BA34E0" w:rsidRDefault="00BA34E0" w:rsidP="00BA34E0">
      <w:pPr>
        <w:spacing w:after="0" w:line="240" w:lineRule="auto"/>
      </w:pPr>
      <w:r>
        <w:t>California Courts of Appeal</w:t>
      </w:r>
    </w:p>
    <w:p w14:paraId="65995526" w14:textId="15E657BF" w:rsidR="00BA34E0" w:rsidRDefault="00BA34E0" w:rsidP="00BA34E0">
      <w:pPr>
        <w:spacing w:after="0" w:line="240" w:lineRule="auto"/>
      </w:pPr>
      <w:r>
        <w:t>November 17, 2025</w:t>
      </w:r>
    </w:p>
    <w:p w14:paraId="466485D2" w14:textId="77777777" w:rsidR="00BA34E0" w:rsidRDefault="00BA34E0" w:rsidP="00BA34E0">
      <w:pPr>
        <w:spacing w:after="0" w:line="240" w:lineRule="auto"/>
      </w:pPr>
    </w:p>
    <w:p w14:paraId="472C86F4" w14:textId="3F88EB2A" w:rsidR="00BA34E0" w:rsidRPr="00BA34E0" w:rsidRDefault="00BA34E0" w:rsidP="00BA34E0">
      <w:pPr>
        <w:spacing w:after="0" w:line="240" w:lineRule="auto"/>
        <w:rPr>
          <w:i/>
          <w:iCs/>
        </w:rPr>
      </w:pPr>
      <w:r w:rsidRPr="00BA34E0">
        <w:rPr>
          <w:i/>
          <w:iCs/>
        </w:rPr>
        <w:t>Summary:  Miranda violation</w:t>
      </w:r>
    </w:p>
    <w:p w14:paraId="12421064" w14:textId="77777777" w:rsidR="00BA34E0" w:rsidRDefault="00BA34E0" w:rsidP="00BA34E0">
      <w:pPr>
        <w:spacing w:after="0" w:line="240" w:lineRule="auto"/>
      </w:pPr>
    </w:p>
    <w:p w14:paraId="0B7B8653" w14:textId="77777777" w:rsidR="00BA34E0" w:rsidRDefault="00BA34E0" w:rsidP="00BA34E0">
      <w:pPr>
        <w:spacing w:after="0" w:line="240" w:lineRule="auto"/>
      </w:pPr>
      <w:r>
        <w:t>The case concerns a man who, along with his wife, adopted two young girls through the foster care system. Years later, when one of the girls was nearly 17, she disclosed to a friend’s mother that she had been sexually abused by her adoptive father over several years. This disclosure led to a law enforcement investigation, during which the defendant voluntarily went to the sheriff’s department to “turn himself in.” He was subsequently interrogated by two officers in a closed interview room at the station. During the third segment of questioning, after persistent and increasingly accusatory interrogation techniques, the defendant confessed to engaging in sexual acts with one of the victims.</w:t>
      </w:r>
    </w:p>
    <w:p w14:paraId="1CDCE842" w14:textId="77777777" w:rsidR="00BA34E0" w:rsidRDefault="00BA34E0" w:rsidP="00BA34E0">
      <w:pPr>
        <w:spacing w:after="0" w:line="240" w:lineRule="auto"/>
      </w:pPr>
    </w:p>
    <w:p w14:paraId="61C6F81A" w14:textId="77777777" w:rsidR="00BA34E0" w:rsidRDefault="00BA34E0" w:rsidP="00BA34E0">
      <w:pPr>
        <w:spacing w:after="0" w:line="240" w:lineRule="auto"/>
      </w:pPr>
      <w:r>
        <w:t>The Superior Court of San Bernardino County heard pretrial motions regarding the admissibility of the defendant’s statements to law enforcement. The prosecution sought to admit the statements, while the defense moved to suppress them, arguing they were obtained in violation of the defendant’s constitutional rights. The trial court ruled the interrogation was not custodial and admitted the statements. At trial, the prosecution presented testimony from the victims and law enforcement, while the defense highlighted inconsistencies and lack of physical evidence. The jury found the defendant guilty on all counts, and he was sentenced to over 120 years to life in prison.</w:t>
      </w:r>
    </w:p>
    <w:p w14:paraId="2928EC44" w14:textId="77777777" w:rsidR="00BA34E0" w:rsidRDefault="00BA34E0" w:rsidP="00BA34E0">
      <w:pPr>
        <w:spacing w:after="0" w:line="240" w:lineRule="auto"/>
      </w:pPr>
    </w:p>
    <w:p w14:paraId="4DE6C85C" w14:textId="21FCB8FB" w:rsidR="00BA34E0" w:rsidRDefault="00BA34E0" w:rsidP="00BA34E0">
      <w:pPr>
        <w:spacing w:after="0" w:line="240" w:lineRule="auto"/>
      </w:pPr>
      <w:r>
        <w:t>On appeal, the California Court of Appeal, Fourth Appellate District, Division Three, reviewed whether the defendant’s confession should have been suppressed under Miranda v. Arizona. The appellate court held that while the initial questioning was noncustodial, the interrogation became custodial during the third segment, at which point Miranda warnings were required but not given. The court found the admission of the confession was prejudicial and not harmless beyond a reasonable doubt. Accordingly, the judgment was reversed and the case remanded for further proceedings.</w:t>
      </w:r>
    </w:p>
    <w:p w14:paraId="141E14CB" w14:textId="77777777" w:rsidR="00BA34E0" w:rsidRDefault="00BA34E0" w:rsidP="00BA34E0">
      <w:pPr>
        <w:spacing w:after="0" w:line="240" w:lineRule="auto"/>
      </w:pPr>
    </w:p>
    <w:p w14:paraId="4E8195F3" w14:textId="4339D5F0" w:rsidR="00BA34E0" w:rsidRDefault="00BA34E0" w:rsidP="00BA34E0">
      <w:pPr>
        <w:spacing w:after="0" w:line="240" w:lineRule="auto"/>
      </w:pPr>
      <w:hyperlink r:id="rId7" w:history="1">
        <w:r w:rsidRPr="005F53E3">
          <w:rPr>
            <w:rStyle w:val="Hyperlink"/>
          </w:rPr>
          <w:t>https://cases.justia.com/california/court-of-appeal/2025-g064663.pdf</w:t>
        </w:r>
      </w:hyperlink>
    </w:p>
    <w:p w14:paraId="006BF296" w14:textId="77777777" w:rsidR="00BA34E0" w:rsidRDefault="00BA34E0" w:rsidP="00BA34E0">
      <w:pPr>
        <w:spacing w:after="0" w:line="240" w:lineRule="auto"/>
      </w:pPr>
    </w:p>
    <w:p w14:paraId="2236942C" w14:textId="22DF1C6D" w:rsidR="00BA34E0" w:rsidRDefault="00BA34E0">
      <w:r>
        <w:br w:type="page"/>
      </w:r>
    </w:p>
    <w:p w14:paraId="22A25420" w14:textId="77777777" w:rsidR="007F6698" w:rsidRPr="007F6698" w:rsidRDefault="007F6698" w:rsidP="007F6698">
      <w:pPr>
        <w:spacing w:after="0" w:line="240" w:lineRule="auto"/>
        <w:rPr>
          <w:b/>
          <w:bCs/>
        </w:rPr>
      </w:pPr>
      <w:r w:rsidRPr="007F6698">
        <w:rPr>
          <w:b/>
          <w:bCs/>
        </w:rPr>
        <w:lastRenderedPageBreak/>
        <w:t>Swink v. Southern Health Partners Inc.</w:t>
      </w:r>
    </w:p>
    <w:p w14:paraId="4258849B" w14:textId="0CCB39B7" w:rsidR="007F6698" w:rsidRDefault="007F6698" w:rsidP="007F6698">
      <w:pPr>
        <w:spacing w:after="0" w:line="240" w:lineRule="auto"/>
      </w:pPr>
      <w:r>
        <w:t>U.S. Court of Appeals for the Fourth Circuit</w:t>
      </w:r>
    </w:p>
    <w:p w14:paraId="3C422C32" w14:textId="60142192" w:rsidR="007F6698" w:rsidRDefault="007F6698" w:rsidP="007F6698">
      <w:pPr>
        <w:spacing w:after="0" w:line="240" w:lineRule="auto"/>
      </w:pPr>
      <w:r>
        <w:t>21-2183</w:t>
      </w:r>
    </w:p>
    <w:p w14:paraId="75E5D10A" w14:textId="22DF5AF3" w:rsidR="007F6698" w:rsidRDefault="007F6698" w:rsidP="007F6698">
      <w:pPr>
        <w:spacing w:after="0" w:line="240" w:lineRule="auto"/>
      </w:pPr>
      <w:r>
        <w:t>November 20, 2025</w:t>
      </w:r>
    </w:p>
    <w:p w14:paraId="0C91675E" w14:textId="77777777" w:rsidR="007F6698" w:rsidRDefault="007F6698" w:rsidP="007F6698">
      <w:pPr>
        <w:spacing w:after="0" w:line="240" w:lineRule="auto"/>
      </w:pPr>
    </w:p>
    <w:p w14:paraId="5A3780C2" w14:textId="146EB1C0" w:rsidR="007F6698" w:rsidRPr="007F6698" w:rsidRDefault="007F6698" w:rsidP="007F6698">
      <w:pPr>
        <w:spacing w:after="0" w:line="240" w:lineRule="auto"/>
        <w:rPr>
          <w:i/>
          <w:iCs/>
        </w:rPr>
      </w:pPr>
      <w:r w:rsidRPr="007F6698">
        <w:rPr>
          <w:i/>
          <w:iCs/>
        </w:rPr>
        <w:t xml:space="preserve">Summary: deliberate indifference    </w:t>
      </w:r>
    </w:p>
    <w:p w14:paraId="1E5379E2" w14:textId="77777777" w:rsidR="007F6698" w:rsidRDefault="007F6698" w:rsidP="007F6698">
      <w:pPr>
        <w:spacing w:after="0" w:line="240" w:lineRule="auto"/>
      </w:pPr>
    </w:p>
    <w:p w14:paraId="03778528" w14:textId="77777777" w:rsidR="007F6698" w:rsidRDefault="007F6698" w:rsidP="007F6698">
      <w:pPr>
        <w:spacing w:after="0" w:line="240" w:lineRule="auto"/>
      </w:pPr>
      <w:r>
        <w:t>David Ray Gunter, who had a mechanical heart valve and required daily anticoagulant medication (Coumadin), was arrested and detained at two North Carolina county jails. During his detention, Gunter did not consistently receive his prescribed medication, missing doses over several days due to failures by the contracted medical provider and jail staff. After his release, he suffered serious medical complications, including blood clots and subsequent surgeries. Gunter alleged these injuries were the result of inadequate medical care during his incarceration.</w:t>
      </w:r>
    </w:p>
    <w:p w14:paraId="1B3C0FE6" w14:textId="77777777" w:rsidR="007F6698" w:rsidRDefault="007F6698" w:rsidP="007F6698">
      <w:pPr>
        <w:spacing w:after="0" w:line="240" w:lineRule="auto"/>
      </w:pPr>
    </w:p>
    <w:p w14:paraId="6A3A9F27" w14:textId="77777777" w:rsidR="007F6698" w:rsidRDefault="007F6698" w:rsidP="007F6698">
      <w:pPr>
        <w:spacing w:after="0" w:line="240" w:lineRule="auto"/>
      </w:pPr>
      <w:r>
        <w:t>The United States District Court for the Middle District of North Carolina granted summary judgment for defendants on Gunter’s constitutional claims under 42 U.S.C. § 1983, including deliberate indifference and Monell claims, finding insufficient evidence that jail officials or contracted medical providers acted with deliberate indifference or that county policies caused the deprivation. The district court also granted summary judgment to Southern Health Partners, Inc. (SHP) on the medical malpractice claim, finding that Gunter’s expert testimony did not establish a breach of the standard of care by SHP, and excluded expert evidence it found speculative. However, the district court found genuine disputes of fact regarding medical malpractice claims against two individual medical providers, but ultimately found no proximate cause. The district court denied Gunter’s motion to compel deposition of the defendants’ expert as untimely and granted a motion to strike a post-deposition declaration from Gunter’s expert.</w:t>
      </w:r>
    </w:p>
    <w:p w14:paraId="65F888A3" w14:textId="77777777" w:rsidR="007F6698" w:rsidRDefault="007F6698" w:rsidP="007F6698">
      <w:pPr>
        <w:spacing w:after="0" w:line="240" w:lineRule="auto"/>
      </w:pPr>
    </w:p>
    <w:p w14:paraId="64523D2A" w14:textId="0A9EBD85" w:rsidR="00BA34E0" w:rsidRDefault="007F6698" w:rsidP="007F6698">
      <w:pPr>
        <w:spacing w:after="0" w:line="240" w:lineRule="auto"/>
      </w:pPr>
      <w:r>
        <w:t>The United States Court of Appeals for the Fourth Circuit reversed the district court’s dismissal of Gunter’s deliberate indifference claim against the medical provider defendants, the Monell claim against the counties, and the medical malpractice claims against SHP and two medical providers, holding that genuine disputes of material fact remained. The appellate court also reversed the exclusion of certain expert testimony and the grant of the motion to strike, but affirmed the denial of the motion to compel. The case was remanded for further proceedings.</w:t>
      </w:r>
    </w:p>
    <w:p w14:paraId="2321731A" w14:textId="77777777" w:rsidR="007F6698" w:rsidRDefault="007F6698" w:rsidP="007F6698">
      <w:pPr>
        <w:spacing w:after="0" w:line="240" w:lineRule="auto"/>
      </w:pPr>
    </w:p>
    <w:p w14:paraId="00021816" w14:textId="1CBC09DD" w:rsidR="007F6698" w:rsidRDefault="007F6698" w:rsidP="007F6698">
      <w:pPr>
        <w:spacing w:after="0" w:line="240" w:lineRule="auto"/>
      </w:pPr>
      <w:hyperlink r:id="rId8" w:history="1">
        <w:r w:rsidRPr="005F53E3">
          <w:rPr>
            <w:rStyle w:val="Hyperlink"/>
          </w:rPr>
          <w:t>https://cases.justia.com/federal/appellate-courts/ca4/21-2183/21-2183-2025-11-20.pdf</w:t>
        </w:r>
      </w:hyperlink>
      <w:r>
        <w:t xml:space="preserve"> </w:t>
      </w:r>
    </w:p>
    <w:p w14:paraId="60B58D2A" w14:textId="77777777" w:rsidR="007F6698" w:rsidRDefault="007F6698" w:rsidP="007F6698">
      <w:pPr>
        <w:spacing w:after="0" w:line="240" w:lineRule="auto"/>
      </w:pPr>
    </w:p>
    <w:p w14:paraId="78187DD9" w14:textId="77777777" w:rsidR="007F6698" w:rsidRDefault="007F6698" w:rsidP="007F6698">
      <w:pPr>
        <w:spacing w:after="0" w:line="240" w:lineRule="auto"/>
      </w:pPr>
    </w:p>
    <w:p w14:paraId="5D407361" w14:textId="0C973A57" w:rsidR="007F6698" w:rsidRDefault="007F6698">
      <w:r>
        <w:br w:type="page"/>
      </w:r>
    </w:p>
    <w:p w14:paraId="28E271E2" w14:textId="77777777" w:rsidR="007F6698" w:rsidRPr="007F6698" w:rsidRDefault="007F6698" w:rsidP="007F6698">
      <w:pPr>
        <w:spacing w:after="0" w:line="240" w:lineRule="auto"/>
        <w:rPr>
          <w:b/>
          <w:bCs/>
        </w:rPr>
      </w:pPr>
      <w:r w:rsidRPr="007F6698">
        <w:rPr>
          <w:b/>
          <w:bCs/>
        </w:rPr>
        <w:lastRenderedPageBreak/>
        <w:t>Romero v. City of Lansing, Mich.</w:t>
      </w:r>
    </w:p>
    <w:p w14:paraId="7C49B43C" w14:textId="78A03305" w:rsidR="007F6698" w:rsidRDefault="007F6698" w:rsidP="007F6698">
      <w:pPr>
        <w:spacing w:after="0" w:line="240" w:lineRule="auto"/>
      </w:pPr>
      <w:r>
        <w:t>U.S. Court of Appeals for the Sixth Circuit</w:t>
      </w:r>
    </w:p>
    <w:p w14:paraId="7FC89F9B" w14:textId="3BC9E10F" w:rsidR="007F6698" w:rsidRDefault="007F6698" w:rsidP="007F6698">
      <w:pPr>
        <w:spacing w:after="0" w:line="240" w:lineRule="auto"/>
      </w:pPr>
      <w:r>
        <w:t>24-1865</w:t>
      </w:r>
    </w:p>
    <w:p w14:paraId="69940A81" w14:textId="1B28B68C" w:rsidR="007F6698" w:rsidRDefault="007F6698" w:rsidP="007F6698">
      <w:pPr>
        <w:spacing w:after="0" w:line="240" w:lineRule="auto"/>
      </w:pPr>
      <w:r>
        <w:t>November 18, 2025</w:t>
      </w:r>
    </w:p>
    <w:p w14:paraId="6F63F963" w14:textId="77777777" w:rsidR="007F6698" w:rsidRDefault="007F6698" w:rsidP="007F6698">
      <w:pPr>
        <w:spacing w:after="0" w:line="240" w:lineRule="auto"/>
      </w:pPr>
    </w:p>
    <w:p w14:paraId="7169ED16" w14:textId="14A396F8" w:rsidR="007F6698" w:rsidRPr="007F6698" w:rsidRDefault="007F6698" w:rsidP="007F6698">
      <w:pPr>
        <w:spacing w:after="0" w:line="240" w:lineRule="auto"/>
        <w:rPr>
          <w:i/>
          <w:iCs/>
        </w:rPr>
      </w:pPr>
      <w:r w:rsidRPr="007F6698">
        <w:rPr>
          <w:i/>
          <w:iCs/>
        </w:rPr>
        <w:t xml:space="preserve">Summary:        </w:t>
      </w:r>
    </w:p>
    <w:p w14:paraId="07B958E9" w14:textId="77777777" w:rsidR="007F6698" w:rsidRDefault="007F6698" w:rsidP="007F6698">
      <w:pPr>
        <w:spacing w:after="0" w:line="240" w:lineRule="auto"/>
      </w:pPr>
    </w:p>
    <w:p w14:paraId="6C94961E" w14:textId="77777777" w:rsidR="007F6698" w:rsidRDefault="007F6698" w:rsidP="007F6698">
      <w:pPr>
        <w:spacing w:after="0" w:line="240" w:lineRule="auto"/>
      </w:pPr>
      <w:r>
        <w:t>Two Lansing police officers responded to a 911 call reporting a domestic disturbance involving Stephen Romero. Although the initial caller, Stephen’s wife Ashly, stated that Stephen was unarmed and had not threatened her, a second caller reported a shooting, and a third clarified that no one had been shot, though it was unclear if the officers received this update. Upon arrival, the officers encountered Stephen outside a car, with Ashly in the driver’s seat. The officers drew their weapons and ordered Stephen to the ground. Stephen, holding two cell phones, complied by placing them on the ground and raising his hands. After further commands, Stephen got on his knees, raised his shirt to show a holstered gun, and reached for it, prompting the officers to shoot him. While wounded and lying on the ground, Stephen again reached toward his waist and the officers fired a second time. Stephen died at the scene, and the incident was recorded on body cameras.</w:t>
      </w:r>
    </w:p>
    <w:p w14:paraId="1B4FF4F0" w14:textId="77777777" w:rsidR="007F6698" w:rsidRDefault="007F6698" w:rsidP="007F6698">
      <w:pPr>
        <w:spacing w:after="0" w:line="240" w:lineRule="auto"/>
      </w:pPr>
    </w:p>
    <w:p w14:paraId="65744E5D" w14:textId="77777777" w:rsidR="007F6698" w:rsidRDefault="007F6698" w:rsidP="007F6698">
      <w:pPr>
        <w:spacing w:after="0" w:line="240" w:lineRule="auto"/>
      </w:pPr>
      <w:r>
        <w:t>Ashly, as personal representative of Stephen’s estate, filed suit in the United States District Court for the Western District of Michigan, alleging excessive force under the Fourth Amendment, failure to intervene, and municipal liability for inadequate training under Monell v. Department of Social Services of New York City. The district court granted the defendants’ motion to dismiss, holding that the officers’ use of deadly force did not violate clearly established rights and dismissing all claims.</w:t>
      </w:r>
    </w:p>
    <w:p w14:paraId="39EF21F3" w14:textId="77777777" w:rsidR="007F6698" w:rsidRDefault="007F6698" w:rsidP="007F6698">
      <w:pPr>
        <w:spacing w:after="0" w:line="240" w:lineRule="auto"/>
      </w:pPr>
    </w:p>
    <w:p w14:paraId="20A5D6E0" w14:textId="25F62ACA" w:rsidR="007F6698" w:rsidRDefault="007F6698" w:rsidP="007F6698">
      <w:pPr>
        <w:spacing w:after="0" w:line="240" w:lineRule="auto"/>
      </w:pPr>
      <w:r>
        <w:t xml:space="preserve">On appeal, the United States Court of Appeals for the Sixth Circuit reversed the dismissal of the excessive-force claim, holding that Ashly plausibly alleged a violation of Stephen’s clearly established rights when the officers fired a second round of shots while he was wounded </w:t>
      </w:r>
      <w:proofErr w:type="gramStart"/>
      <w:r>
        <w:t>and on the ground,</w:t>
      </w:r>
      <w:proofErr w:type="gramEnd"/>
      <w:r>
        <w:t xml:space="preserve"> no longer posing an immediate threat. The court affirmed the dismissal of the failure-to-intervene and municipal liability claims, finding insufficient opportunity for intervention and inadequate factual allegations regarding city policy or training.</w:t>
      </w:r>
    </w:p>
    <w:p w14:paraId="4A983B0B" w14:textId="77777777" w:rsidR="007F6698" w:rsidRDefault="007F6698" w:rsidP="007F6698">
      <w:pPr>
        <w:spacing w:after="0" w:line="240" w:lineRule="auto"/>
      </w:pPr>
    </w:p>
    <w:p w14:paraId="0F9FC215" w14:textId="4F42A0A3" w:rsidR="007F6698" w:rsidRDefault="007F6698" w:rsidP="007F6698">
      <w:pPr>
        <w:spacing w:after="0" w:line="240" w:lineRule="auto"/>
      </w:pPr>
      <w:hyperlink r:id="rId9" w:history="1">
        <w:r w:rsidRPr="005F53E3">
          <w:rPr>
            <w:rStyle w:val="Hyperlink"/>
          </w:rPr>
          <w:t>https://cases.justia.com/federal/appellate-courts/ca6/24-1865/24-1865-2025-11-18.pdf</w:t>
        </w:r>
      </w:hyperlink>
      <w:r>
        <w:t xml:space="preserve"> </w:t>
      </w:r>
    </w:p>
    <w:p w14:paraId="4BD292EA" w14:textId="77777777" w:rsidR="007F6698" w:rsidRDefault="007F6698" w:rsidP="007F6698">
      <w:pPr>
        <w:spacing w:after="0" w:line="240" w:lineRule="auto"/>
      </w:pPr>
    </w:p>
    <w:p w14:paraId="02481357" w14:textId="77777777" w:rsidR="007F6698" w:rsidRDefault="007F6698" w:rsidP="007F6698">
      <w:pPr>
        <w:spacing w:after="0" w:line="240" w:lineRule="auto"/>
      </w:pPr>
    </w:p>
    <w:p w14:paraId="70DC64E8" w14:textId="52181303" w:rsidR="007F6698" w:rsidRDefault="007F6698">
      <w:r>
        <w:br w:type="page"/>
      </w:r>
    </w:p>
    <w:p w14:paraId="0768A032" w14:textId="77777777" w:rsidR="007F6698" w:rsidRPr="007F6698" w:rsidRDefault="007F6698" w:rsidP="007F6698">
      <w:pPr>
        <w:spacing w:after="0" w:line="240" w:lineRule="auto"/>
        <w:rPr>
          <w:b/>
          <w:bCs/>
        </w:rPr>
      </w:pPr>
      <w:r w:rsidRPr="007F6698">
        <w:rPr>
          <w:b/>
          <w:bCs/>
        </w:rPr>
        <w:lastRenderedPageBreak/>
        <w:t>Smothers v. Childers</w:t>
      </w:r>
    </w:p>
    <w:p w14:paraId="5F51BA65" w14:textId="623FD6FF" w:rsidR="007F6698" w:rsidRDefault="007F6698" w:rsidP="007F6698">
      <w:pPr>
        <w:spacing w:after="0" w:line="240" w:lineRule="auto"/>
      </w:pPr>
      <w:r>
        <w:t>U.S. Court of Appeals for the Eleventh Circuit</w:t>
      </w:r>
    </w:p>
    <w:p w14:paraId="13893708" w14:textId="4D2BA0A0" w:rsidR="007F6698" w:rsidRDefault="007F6698" w:rsidP="007F6698">
      <w:pPr>
        <w:spacing w:after="0" w:line="240" w:lineRule="auto"/>
      </w:pPr>
      <w:r>
        <w:t>24-13131</w:t>
      </w:r>
    </w:p>
    <w:p w14:paraId="2F0782BA" w14:textId="45C98940" w:rsidR="007F6698" w:rsidRDefault="007F6698" w:rsidP="007F6698">
      <w:pPr>
        <w:spacing w:after="0" w:line="240" w:lineRule="auto"/>
      </w:pPr>
      <w:r>
        <w:t>November 20, 2025</w:t>
      </w:r>
    </w:p>
    <w:p w14:paraId="4E2EF788" w14:textId="77777777" w:rsidR="007F6698" w:rsidRDefault="007F6698" w:rsidP="007F6698">
      <w:pPr>
        <w:spacing w:after="0" w:line="240" w:lineRule="auto"/>
      </w:pPr>
    </w:p>
    <w:p w14:paraId="4C323FCD" w14:textId="47C946A8" w:rsidR="007F6698" w:rsidRPr="007F6698" w:rsidRDefault="007F6698" w:rsidP="007F6698">
      <w:pPr>
        <w:spacing w:after="0" w:line="240" w:lineRule="auto"/>
        <w:rPr>
          <w:i/>
          <w:iCs/>
        </w:rPr>
      </w:pPr>
      <w:r w:rsidRPr="007F6698">
        <w:rPr>
          <w:i/>
          <w:iCs/>
        </w:rPr>
        <w:t xml:space="preserve">Summary:      </w:t>
      </w:r>
    </w:p>
    <w:p w14:paraId="3EC68BB7" w14:textId="77777777" w:rsidR="007F6698" w:rsidRDefault="007F6698" w:rsidP="007F6698">
      <w:pPr>
        <w:spacing w:after="0" w:line="240" w:lineRule="auto"/>
      </w:pPr>
    </w:p>
    <w:p w14:paraId="61EAC910" w14:textId="77777777" w:rsidR="007F6698" w:rsidRDefault="007F6698" w:rsidP="007F6698">
      <w:pPr>
        <w:spacing w:after="0" w:line="240" w:lineRule="auto"/>
      </w:pPr>
      <w:r>
        <w:t>An individual incarcerated in a county jail in Alabama died after several months in custody, during which his mother, acting as administrator of his estate, alleges he was denied adequate medical care. The county jail had contracted with a private company, Preemptive Forensic Health Solutions, to provide all inmate medical care, even though the company employed no physicians and was allegedly incompetent. Prior to the decedent's death, multiple inmates had died under this company's care, and concerns about inadequate medical treatment became a significant issue in a local sheriff’s election. Despite these concerns and the new sheriff’s efforts to terminate the contract, the county continued and even renewed the agreement with the company, retaining exclusive control over its continuation.</w:t>
      </w:r>
    </w:p>
    <w:p w14:paraId="07306600" w14:textId="77777777" w:rsidR="007F6698" w:rsidRDefault="007F6698" w:rsidP="007F6698">
      <w:pPr>
        <w:spacing w:after="0" w:line="240" w:lineRule="auto"/>
      </w:pPr>
    </w:p>
    <w:p w14:paraId="66C5B2CA" w14:textId="77777777" w:rsidR="007F6698" w:rsidRDefault="007F6698" w:rsidP="007F6698">
      <w:pPr>
        <w:spacing w:after="0" w:line="240" w:lineRule="auto"/>
      </w:pPr>
      <w:r>
        <w:t>The United States District Court for the Northern District of Alabama granted summary judgment to the county, holding that Alabama law limited the county's role to funding inmate healthcare, not providing it, and thus precluded liability under 42 U.S.C. § 1983. The district court determined that only the sheriff was responsible for administering medical care in the jail and that the county had fulfilled its statutory duty by paying for services.</w:t>
      </w:r>
    </w:p>
    <w:p w14:paraId="4968D057" w14:textId="77777777" w:rsidR="007F6698" w:rsidRDefault="007F6698" w:rsidP="007F6698">
      <w:pPr>
        <w:spacing w:after="0" w:line="240" w:lineRule="auto"/>
      </w:pPr>
    </w:p>
    <w:p w14:paraId="009E4850" w14:textId="550D7518" w:rsidR="007F6698" w:rsidRDefault="007F6698" w:rsidP="007F6698">
      <w:pPr>
        <w:spacing w:after="0" w:line="240" w:lineRule="auto"/>
      </w:pPr>
      <w:r>
        <w:t xml:space="preserve">The United States Court of Appeals for the Eleventh Circuit reversed this decision. The appellate court held that, under Monell v. Department of Social Services of City of New York and </w:t>
      </w:r>
      <w:proofErr w:type="spellStart"/>
      <w:r>
        <w:t>Ancata</w:t>
      </w:r>
      <w:proofErr w:type="spellEnd"/>
      <w:r>
        <w:t xml:space="preserve"> v. Prison Health Services, Inc., a county can be liable under § 1983 if it adopts or maintains a policy or custom that results in deliberate indifference to inmates' constitutional rights. The court found sufficient evidence for a jury to conclude that the county’s policy of contracting with an incompetent provider—and preventing the sheriff from changing it—could have caused the decedent’s Eighth Amendment violation. The court ruled that Alabama law does not bar such liability and remanded the case for further proceedings.</w:t>
      </w:r>
    </w:p>
    <w:p w14:paraId="3FC31832" w14:textId="77777777" w:rsidR="007F6698" w:rsidRDefault="007F6698" w:rsidP="007F6698">
      <w:pPr>
        <w:spacing w:after="0" w:line="240" w:lineRule="auto"/>
      </w:pPr>
    </w:p>
    <w:p w14:paraId="4D3399B3" w14:textId="2E2D7690" w:rsidR="007F6698" w:rsidRDefault="007F6698" w:rsidP="007F6698">
      <w:pPr>
        <w:spacing w:after="0" w:line="240" w:lineRule="auto"/>
      </w:pPr>
      <w:hyperlink r:id="rId10" w:history="1">
        <w:r w:rsidRPr="005F53E3">
          <w:rPr>
            <w:rStyle w:val="Hyperlink"/>
          </w:rPr>
          <w:t>https://cases.justia.com/federal/appellate-courts/ca11/24-13131/24-13131-2025-11-20.pdf</w:t>
        </w:r>
      </w:hyperlink>
      <w:r>
        <w:t xml:space="preserve"> </w:t>
      </w:r>
    </w:p>
    <w:p w14:paraId="6F2580EC" w14:textId="77777777" w:rsidR="007F6698" w:rsidRDefault="007F6698" w:rsidP="007F6698">
      <w:pPr>
        <w:spacing w:after="0" w:line="240" w:lineRule="auto"/>
      </w:pPr>
    </w:p>
    <w:p w14:paraId="1CF81825" w14:textId="77777777" w:rsidR="007F6698" w:rsidRDefault="007F6698" w:rsidP="007F6698">
      <w:pPr>
        <w:spacing w:after="0" w:line="240" w:lineRule="auto"/>
      </w:pPr>
    </w:p>
    <w:p w14:paraId="78677171" w14:textId="77777777" w:rsidR="007F6698" w:rsidRDefault="007F6698" w:rsidP="007F6698">
      <w:pPr>
        <w:spacing w:after="0" w:line="240" w:lineRule="auto"/>
      </w:pPr>
    </w:p>
    <w:p w14:paraId="1D5FD800" w14:textId="00EE39F1" w:rsidR="007F6698" w:rsidRDefault="007F6698">
      <w:r>
        <w:br w:type="page"/>
      </w:r>
    </w:p>
    <w:p w14:paraId="4E318008" w14:textId="77777777" w:rsidR="007F6698" w:rsidRDefault="007F6698" w:rsidP="007F6698">
      <w:pPr>
        <w:spacing w:after="0" w:line="240" w:lineRule="auto"/>
      </w:pPr>
    </w:p>
    <w:sectPr w:rsidR="007F6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5F"/>
    <w:rsid w:val="00087342"/>
    <w:rsid w:val="000D2F1C"/>
    <w:rsid w:val="004E3816"/>
    <w:rsid w:val="00570746"/>
    <w:rsid w:val="0064035F"/>
    <w:rsid w:val="007F6698"/>
    <w:rsid w:val="00BA34E0"/>
    <w:rsid w:val="00D41EC4"/>
    <w:rsid w:val="00DF0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1828"/>
  <w15:chartTrackingRefBased/>
  <w15:docId w15:val="{69B31C28-CE34-4DCA-987D-1423F706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5F"/>
    <w:rPr>
      <w:rFonts w:eastAsiaTheme="majorEastAsia" w:cstheme="majorBidi"/>
      <w:color w:val="272727" w:themeColor="text1" w:themeTint="D8"/>
    </w:rPr>
  </w:style>
  <w:style w:type="paragraph" w:styleId="Title">
    <w:name w:val="Title"/>
    <w:basedOn w:val="Normal"/>
    <w:next w:val="Normal"/>
    <w:link w:val="TitleChar"/>
    <w:uiPriority w:val="10"/>
    <w:qFormat/>
    <w:rsid w:val="0064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5F"/>
    <w:pPr>
      <w:spacing w:before="160"/>
      <w:jc w:val="center"/>
    </w:pPr>
    <w:rPr>
      <w:i/>
      <w:iCs/>
      <w:color w:val="404040" w:themeColor="text1" w:themeTint="BF"/>
    </w:rPr>
  </w:style>
  <w:style w:type="character" w:customStyle="1" w:styleId="QuoteChar">
    <w:name w:val="Quote Char"/>
    <w:basedOn w:val="DefaultParagraphFont"/>
    <w:link w:val="Quote"/>
    <w:uiPriority w:val="29"/>
    <w:rsid w:val="0064035F"/>
    <w:rPr>
      <w:i/>
      <w:iCs/>
      <w:color w:val="404040" w:themeColor="text1" w:themeTint="BF"/>
    </w:rPr>
  </w:style>
  <w:style w:type="paragraph" w:styleId="ListParagraph">
    <w:name w:val="List Paragraph"/>
    <w:basedOn w:val="Normal"/>
    <w:uiPriority w:val="34"/>
    <w:qFormat/>
    <w:rsid w:val="0064035F"/>
    <w:pPr>
      <w:ind w:left="720"/>
      <w:contextualSpacing/>
    </w:pPr>
  </w:style>
  <w:style w:type="character" w:styleId="IntenseEmphasis">
    <w:name w:val="Intense Emphasis"/>
    <w:basedOn w:val="DefaultParagraphFont"/>
    <w:uiPriority w:val="21"/>
    <w:qFormat/>
    <w:rsid w:val="0064035F"/>
    <w:rPr>
      <w:i/>
      <w:iCs/>
      <w:color w:val="0F4761" w:themeColor="accent1" w:themeShade="BF"/>
    </w:rPr>
  </w:style>
  <w:style w:type="paragraph" w:styleId="IntenseQuote">
    <w:name w:val="Intense Quote"/>
    <w:basedOn w:val="Normal"/>
    <w:next w:val="Normal"/>
    <w:link w:val="IntenseQuoteChar"/>
    <w:uiPriority w:val="30"/>
    <w:qFormat/>
    <w:rsid w:val="0064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35F"/>
    <w:rPr>
      <w:i/>
      <w:iCs/>
      <w:color w:val="0F4761" w:themeColor="accent1" w:themeShade="BF"/>
    </w:rPr>
  </w:style>
  <w:style w:type="character" w:styleId="IntenseReference">
    <w:name w:val="Intense Reference"/>
    <w:basedOn w:val="DefaultParagraphFont"/>
    <w:uiPriority w:val="32"/>
    <w:qFormat/>
    <w:rsid w:val="0064035F"/>
    <w:rPr>
      <w:b/>
      <w:bCs/>
      <w:smallCaps/>
      <w:color w:val="0F4761" w:themeColor="accent1" w:themeShade="BF"/>
      <w:spacing w:val="5"/>
    </w:rPr>
  </w:style>
  <w:style w:type="character" w:styleId="Hyperlink">
    <w:name w:val="Hyperlink"/>
    <w:basedOn w:val="DefaultParagraphFont"/>
    <w:uiPriority w:val="99"/>
    <w:unhideWhenUsed/>
    <w:rsid w:val="00DF0E9E"/>
    <w:rPr>
      <w:color w:val="467886" w:themeColor="hyperlink"/>
      <w:u w:val="single"/>
    </w:rPr>
  </w:style>
  <w:style w:type="character" w:styleId="UnresolvedMention">
    <w:name w:val="Unresolved Mention"/>
    <w:basedOn w:val="DefaultParagraphFont"/>
    <w:uiPriority w:val="99"/>
    <w:semiHidden/>
    <w:unhideWhenUsed/>
    <w:rsid w:val="00DF0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00443">
      <w:bodyDiv w:val="1"/>
      <w:marLeft w:val="0"/>
      <w:marRight w:val="0"/>
      <w:marTop w:val="0"/>
      <w:marBottom w:val="0"/>
      <w:divBdr>
        <w:top w:val="none" w:sz="0" w:space="0" w:color="auto"/>
        <w:left w:val="none" w:sz="0" w:space="0" w:color="auto"/>
        <w:bottom w:val="none" w:sz="0" w:space="0" w:color="auto"/>
        <w:right w:val="none" w:sz="0" w:space="0" w:color="auto"/>
      </w:divBdr>
    </w:div>
    <w:div w:id="1264460199">
      <w:bodyDiv w:val="1"/>
      <w:marLeft w:val="0"/>
      <w:marRight w:val="0"/>
      <w:marTop w:val="0"/>
      <w:marBottom w:val="0"/>
      <w:divBdr>
        <w:top w:val="none" w:sz="0" w:space="0" w:color="auto"/>
        <w:left w:val="none" w:sz="0" w:space="0" w:color="auto"/>
        <w:bottom w:val="none" w:sz="0" w:space="0" w:color="auto"/>
        <w:right w:val="none" w:sz="0" w:space="0" w:color="auto"/>
      </w:divBdr>
    </w:div>
    <w:div w:id="168690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4/21-2183/21-2183-2025-11-20.pdf" TargetMode="External"/><Relationship Id="rId3" Type="http://schemas.openxmlformats.org/officeDocument/2006/relationships/webSettings" Target="webSettings.xml"/><Relationship Id="rId7" Type="http://schemas.openxmlformats.org/officeDocument/2006/relationships/hyperlink" Target="https://cases.justia.com/california/court-of-appeal/2025-g064663.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8/24-2540/24-2540-2025-11-18.pdf" TargetMode="External"/><Relationship Id="rId11" Type="http://schemas.openxmlformats.org/officeDocument/2006/relationships/fontTable" Target="fontTable.xml"/><Relationship Id="rId5" Type="http://schemas.openxmlformats.org/officeDocument/2006/relationships/hyperlink" Target="https://cases.justia.com/federal/appellate-courts/ca8/24-1114/24-1114-2025-11-19.pdf" TargetMode="External"/><Relationship Id="rId10" Type="http://schemas.openxmlformats.org/officeDocument/2006/relationships/hyperlink" Target="https://cases.justia.com/federal/appellate-courts/ca11/24-13131/24-13131-2025-11-20.pdf" TargetMode="External"/><Relationship Id="rId4" Type="http://schemas.openxmlformats.org/officeDocument/2006/relationships/hyperlink" Target="https://cases.justia.com/federal/appellate-courts/ca1/25-1007/25-1007-2025-11-18.pdf" TargetMode="External"/><Relationship Id="rId9" Type="http://schemas.openxmlformats.org/officeDocument/2006/relationships/hyperlink" Target="https://cases.justia.com/federal/appellate-courts/ca6/24-1865/24-1865-2025-11-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4</cp:revision>
  <dcterms:created xsi:type="dcterms:W3CDTF">2025-11-21T15:05:00Z</dcterms:created>
  <dcterms:modified xsi:type="dcterms:W3CDTF">2025-11-21T15:32:00Z</dcterms:modified>
</cp:coreProperties>
</file>