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EBB6" w14:textId="77777777" w:rsidR="00A00328" w:rsidRPr="00A00328" w:rsidRDefault="00A00328" w:rsidP="00A00328">
      <w:pPr>
        <w:spacing w:after="0" w:line="240" w:lineRule="auto"/>
        <w:rPr>
          <w:b/>
          <w:bCs/>
        </w:rPr>
      </w:pPr>
      <w:r w:rsidRPr="00A00328">
        <w:rPr>
          <w:b/>
          <w:bCs/>
        </w:rPr>
        <w:t>United States v. Ducksworth</w:t>
      </w:r>
    </w:p>
    <w:p w14:paraId="462654E2" w14:textId="78D91996" w:rsidR="00A00328" w:rsidRDefault="00A00328" w:rsidP="00A00328">
      <w:pPr>
        <w:spacing w:after="0" w:line="240" w:lineRule="auto"/>
      </w:pPr>
      <w:r>
        <w:t>U.S. Court of Appeals for the Fifth Circuit</w:t>
      </w:r>
    </w:p>
    <w:p w14:paraId="774414A6" w14:textId="5B9D8709" w:rsidR="00A00328" w:rsidRDefault="00A00328" w:rsidP="00A00328">
      <w:pPr>
        <w:spacing w:after="0" w:line="240" w:lineRule="auto"/>
      </w:pPr>
      <w:r>
        <w:t>24-60473</w:t>
      </w:r>
    </w:p>
    <w:p w14:paraId="6A93DE62" w14:textId="7F45A11F" w:rsidR="00A00328" w:rsidRDefault="00A00328" w:rsidP="00A00328">
      <w:pPr>
        <w:spacing w:after="0" w:line="240" w:lineRule="auto"/>
      </w:pPr>
      <w:r>
        <w:t>November 26, 2025</w:t>
      </w:r>
    </w:p>
    <w:p w14:paraId="45C756A1" w14:textId="77777777" w:rsidR="00A00328" w:rsidRDefault="00A00328" w:rsidP="00A00328">
      <w:pPr>
        <w:spacing w:after="0" w:line="240" w:lineRule="auto"/>
      </w:pPr>
    </w:p>
    <w:p w14:paraId="732C4ADA" w14:textId="5E9EBF33" w:rsidR="00A00328" w:rsidRDefault="00A00328" w:rsidP="00A00328">
      <w:pPr>
        <w:spacing w:after="0" w:line="240" w:lineRule="auto"/>
      </w:pPr>
      <w:r>
        <w:t xml:space="preserve">Summary: Reasonable Suspicion </w:t>
      </w:r>
      <w:proofErr w:type="gramStart"/>
      <w:r>
        <w:t>for</w:t>
      </w:r>
      <w:proofErr w:type="gramEnd"/>
      <w:r>
        <w:t xml:space="preserve"> Terry Frisk</w:t>
      </w:r>
    </w:p>
    <w:p w14:paraId="05407EF1" w14:textId="77777777" w:rsidR="00A00328" w:rsidRDefault="00A00328" w:rsidP="00A00328">
      <w:pPr>
        <w:spacing w:after="0" w:line="240" w:lineRule="auto"/>
      </w:pPr>
    </w:p>
    <w:p w14:paraId="16528CD7" w14:textId="77777777" w:rsidR="00A00328" w:rsidRDefault="00A00328" w:rsidP="00A00328">
      <w:pPr>
        <w:spacing w:after="0" w:line="240" w:lineRule="auto"/>
      </w:pPr>
      <w:r>
        <w:t xml:space="preserve">On the night of November 29, 2021, a Hattiesburg police officer conducted a traffic stop of a vehicle due to a defective tag light. The driver, unable to provide identification or insurance, was asked to exit the car. During a protective pat-down, the officer discovered a concealed firearm on the driver, who initially denied </w:t>
      </w:r>
      <w:proofErr w:type="gramStart"/>
      <w:r>
        <w:t>its</w:t>
      </w:r>
      <w:proofErr w:type="gramEnd"/>
      <w:r>
        <w:t xml:space="preserve"> presence. The officer then approached the passenger, Andrew Ducksworth, who stated he was paralyzed from the waist down. After requesting Ducksworth to raise his hands and initiating a pat-down, the officer felt a hard object between Ducksworth’s legs, which Ducksworth denied was a firearm. Upon further investigation and backup, officers found a loaded firearm in Ducksworth’s possession and learned he was a convicted felon.</w:t>
      </w:r>
    </w:p>
    <w:p w14:paraId="77F1CACD" w14:textId="77777777" w:rsidR="00A00328" w:rsidRDefault="00A00328" w:rsidP="00A00328">
      <w:pPr>
        <w:spacing w:after="0" w:line="240" w:lineRule="auto"/>
      </w:pPr>
    </w:p>
    <w:p w14:paraId="11FE0B3E" w14:textId="77777777" w:rsidR="00A00328" w:rsidRDefault="00A00328" w:rsidP="00A00328">
      <w:pPr>
        <w:spacing w:after="0" w:line="240" w:lineRule="auto"/>
      </w:pPr>
      <w:r>
        <w:t xml:space="preserve">Ducksworth was charged in the United States District Court for the Southern District of Mississippi with being a felon in possession of a firearm under 18 U.S.C. § 922(g)(1). He moved to suppress the firearm, arguing the officer lacked reasonable suspicion for the pat-down, </w:t>
      </w:r>
      <w:proofErr w:type="gramStart"/>
      <w:r>
        <w:t>and also</w:t>
      </w:r>
      <w:proofErr w:type="gramEnd"/>
      <w:r>
        <w:t xml:space="preserve"> moved to dismiss the indictment on Second Amendment grounds. After a hearing, with officer testimony and corroborating body- and dash-cam footage, the district court denied both motions. At a bench trial, Ducksworth </w:t>
      </w:r>
      <w:proofErr w:type="gramStart"/>
      <w:r>
        <w:t>stipulated to</w:t>
      </w:r>
      <w:proofErr w:type="gramEnd"/>
      <w:r>
        <w:t xml:space="preserve"> all elements of the offense, presented no evidence, was found guilty, and sentenced to thirty-six months in prison and three years of supervised release.</w:t>
      </w:r>
    </w:p>
    <w:p w14:paraId="5A020B3C" w14:textId="77777777" w:rsidR="00A00328" w:rsidRDefault="00A00328" w:rsidP="00A00328">
      <w:pPr>
        <w:spacing w:after="0" w:line="240" w:lineRule="auto"/>
      </w:pPr>
    </w:p>
    <w:p w14:paraId="30B4142C" w14:textId="1B75E21A" w:rsidR="005D0F50" w:rsidRDefault="00A00328" w:rsidP="00A00328">
      <w:pPr>
        <w:spacing w:after="0" w:line="240" w:lineRule="auto"/>
      </w:pPr>
      <w:r>
        <w:t xml:space="preserve">The United States Court of Appeals for the Fifth Circuit reviewed the denial of the motions and the sufficiency of the evidence. The court held that, considering the totality of the </w:t>
      </w:r>
      <w:proofErr w:type="gramStart"/>
      <w:r>
        <w:t>circumstances—</w:t>
      </w:r>
      <w:proofErr w:type="gramEnd"/>
      <w:r>
        <w:t xml:space="preserve">including the driver’s possession and concealment of a firearm, the high-crime area, and the officer’s safety </w:t>
      </w:r>
      <w:proofErr w:type="gramStart"/>
      <w:r>
        <w:t>concerns—</w:t>
      </w:r>
      <w:proofErr w:type="gramEnd"/>
      <w:r>
        <w:t>there was reasonable suspicion for the pat-down. The court also held that Ducksworth’s stipulation satisfied the statutory element of a prior felony conviction and rejected his constitutional challenges, affirming the district court’s judgment in full.</w:t>
      </w:r>
    </w:p>
    <w:p w14:paraId="7FC72CB0" w14:textId="77777777" w:rsidR="00A00328" w:rsidRDefault="00A00328" w:rsidP="00A00328">
      <w:pPr>
        <w:spacing w:after="0" w:line="240" w:lineRule="auto"/>
      </w:pPr>
    </w:p>
    <w:p w14:paraId="059A0A84" w14:textId="18E163B6" w:rsidR="00A00328" w:rsidRDefault="00A00328" w:rsidP="00A00328">
      <w:pPr>
        <w:spacing w:after="0" w:line="240" w:lineRule="auto"/>
      </w:pPr>
      <w:hyperlink r:id="rId4" w:history="1">
        <w:r w:rsidRPr="00A628E2">
          <w:rPr>
            <w:rStyle w:val="Hyperlink"/>
          </w:rPr>
          <w:t>https://cases.justia.com/federal/appellate-courts/ca5/24-60473/24-60473-2025-11-26.pdf</w:t>
        </w:r>
      </w:hyperlink>
      <w:r>
        <w:t xml:space="preserve"> </w:t>
      </w:r>
    </w:p>
    <w:p w14:paraId="35DA6FCD" w14:textId="77777777" w:rsidR="00A00328" w:rsidRDefault="00A00328" w:rsidP="00A00328">
      <w:pPr>
        <w:spacing w:after="0" w:line="240" w:lineRule="auto"/>
      </w:pPr>
    </w:p>
    <w:p w14:paraId="4FE775E8" w14:textId="7DA31860" w:rsidR="00A00328" w:rsidRDefault="00A00328">
      <w:r>
        <w:br w:type="page"/>
      </w:r>
    </w:p>
    <w:p w14:paraId="1E47609E" w14:textId="77777777" w:rsidR="004F5FE0" w:rsidRPr="004F5FE0" w:rsidRDefault="004F5FE0" w:rsidP="004F5FE0">
      <w:pPr>
        <w:spacing w:after="0" w:line="240" w:lineRule="auto"/>
        <w:rPr>
          <w:b/>
          <w:bCs/>
        </w:rPr>
      </w:pPr>
      <w:proofErr w:type="spellStart"/>
      <w:r w:rsidRPr="004F5FE0">
        <w:rPr>
          <w:b/>
          <w:bCs/>
        </w:rPr>
        <w:lastRenderedPageBreak/>
        <w:t>Frenchko</w:t>
      </w:r>
      <w:proofErr w:type="spellEnd"/>
      <w:r w:rsidRPr="004F5FE0">
        <w:rPr>
          <w:b/>
          <w:bCs/>
        </w:rPr>
        <w:t xml:space="preserve"> v. Monroe</w:t>
      </w:r>
    </w:p>
    <w:p w14:paraId="79EDD0BC" w14:textId="63C12EBF" w:rsidR="004F5FE0" w:rsidRDefault="004F5FE0" w:rsidP="004F5FE0">
      <w:pPr>
        <w:spacing w:after="0" w:line="240" w:lineRule="auto"/>
      </w:pPr>
      <w:r>
        <w:t>U</w:t>
      </w:r>
      <w:r>
        <w:t>.S. Court of Appeals for the Sixth Circuit</w:t>
      </w:r>
    </w:p>
    <w:p w14:paraId="150D5F01" w14:textId="40DA8505" w:rsidR="004F5FE0" w:rsidRDefault="004F5FE0" w:rsidP="004F5FE0">
      <w:pPr>
        <w:spacing w:after="0" w:line="240" w:lineRule="auto"/>
      </w:pPr>
      <w:r>
        <w:t>24-3116</w:t>
      </w:r>
    </w:p>
    <w:p w14:paraId="205702C5" w14:textId="5FA3E555" w:rsidR="004F5FE0" w:rsidRDefault="004F5FE0" w:rsidP="004F5FE0">
      <w:pPr>
        <w:spacing w:after="0" w:line="240" w:lineRule="auto"/>
      </w:pPr>
      <w:r>
        <w:t>November 26, 2025</w:t>
      </w:r>
    </w:p>
    <w:p w14:paraId="4511FA9C" w14:textId="77777777" w:rsidR="004F5FE0" w:rsidRDefault="004F5FE0" w:rsidP="004F5FE0">
      <w:pPr>
        <w:spacing w:after="0" w:line="240" w:lineRule="auto"/>
      </w:pPr>
    </w:p>
    <w:p w14:paraId="5894374B" w14:textId="6E859393" w:rsidR="004F5FE0" w:rsidRDefault="004F5FE0" w:rsidP="004F5FE0">
      <w:pPr>
        <w:spacing w:after="0" w:line="240" w:lineRule="auto"/>
      </w:pPr>
      <w:r>
        <w:t>Summary: First Amendment Retaliation</w:t>
      </w:r>
    </w:p>
    <w:p w14:paraId="491A1FF2" w14:textId="77777777" w:rsidR="004F5FE0" w:rsidRDefault="004F5FE0" w:rsidP="004F5FE0">
      <w:pPr>
        <w:spacing w:after="0" w:line="240" w:lineRule="auto"/>
      </w:pPr>
    </w:p>
    <w:p w14:paraId="0A486FBE" w14:textId="77777777" w:rsidR="004F5FE0" w:rsidRDefault="004F5FE0" w:rsidP="004F5FE0">
      <w:pPr>
        <w:spacing w:after="0" w:line="240" w:lineRule="auto"/>
      </w:pPr>
      <w:r>
        <w:t>An elected county commissioner was arrested during a public board meeting after she repeatedly interrupted the reading of a letter that criticized her prior statements about alleged inmate mistreatment in the county jail. The commissioner, known for her confrontational stance toward her fellow commissioners and county officials, objected to the letter being read without prior notice and continued to speak over the clerk despite warnings and calls to order from her colleagues. Two sheriff’s deputies present as security arrested her for disrupting a lawful meeting under an Ohio statute. She was processed and released the same day, and the criminal complaint was later dismissed.</w:t>
      </w:r>
    </w:p>
    <w:p w14:paraId="17F383EC" w14:textId="77777777" w:rsidR="004F5FE0" w:rsidRDefault="004F5FE0" w:rsidP="004F5FE0">
      <w:pPr>
        <w:spacing w:after="0" w:line="240" w:lineRule="auto"/>
      </w:pPr>
    </w:p>
    <w:p w14:paraId="7418BB8A" w14:textId="77777777" w:rsidR="004F5FE0" w:rsidRDefault="004F5FE0" w:rsidP="004F5FE0">
      <w:pPr>
        <w:spacing w:after="0" w:line="240" w:lineRule="auto"/>
      </w:pPr>
      <w:r>
        <w:t>The United States District Court for the Northern District of Ohio granted partial summary judgment in favor of the commissioner on her federal claims for First Amendment retaliation and Fourth Amendment unlawful seizure, and denied qualified immunity and statutory immunity to the defendants on these claims and related state-law claims for false arrest and civil conspiracy. The defendants, including the deputies, fellow commissioners, and sheriff, appealed the denial of immunity.</w:t>
      </w:r>
    </w:p>
    <w:p w14:paraId="73DF8FEC" w14:textId="77777777" w:rsidR="004F5FE0" w:rsidRDefault="004F5FE0" w:rsidP="004F5FE0">
      <w:pPr>
        <w:spacing w:after="0" w:line="240" w:lineRule="auto"/>
      </w:pPr>
    </w:p>
    <w:p w14:paraId="74EB0592" w14:textId="62A13510" w:rsidR="00A00328" w:rsidRDefault="004F5FE0" w:rsidP="004F5FE0">
      <w:pPr>
        <w:spacing w:after="0" w:line="240" w:lineRule="auto"/>
      </w:pPr>
      <w:r>
        <w:t xml:space="preserve">The United States Court of Appeals for the Sixth Circuit held that the deputies had probable cause to arrest the commissioner for disrupting the meeting, and thus all defendants were entitled to qualified immunity on the Fourth Amendment claim. The court also concluded that only the deputies were personally involved in the arrest for purposes of individual First Amendment liability and that the presence of probable cause generally precluded the First Amendment retaliatory arrest </w:t>
      </w:r>
      <w:proofErr w:type="gramStart"/>
      <w:r>
        <w:t>claim, but</w:t>
      </w:r>
      <w:proofErr w:type="gramEnd"/>
      <w:r>
        <w:t xml:space="preserve"> remanded for the district court to consider whether exceptions to this rule applied. Regarding the state-law claims, the court affirmed the denial of statutory immunity, finding genuine issues of material fact as to whether the defendants acted in bad faith by allegedly conspiring to arrest the commissioner in retaliation for her speech. The case was </w:t>
      </w:r>
      <w:proofErr w:type="gramStart"/>
      <w:r>
        <w:t>remanded</w:t>
      </w:r>
      <w:proofErr w:type="gramEnd"/>
      <w:r>
        <w:t xml:space="preserve"> for further proceedings.</w:t>
      </w:r>
    </w:p>
    <w:p w14:paraId="39F61193" w14:textId="77777777" w:rsidR="004F5FE0" w:rsidRDefault="004F5FE0" w:rsidP="004F5FE0">
      <w:pPr>
        <w:spacing w:after="0" w:line="240" w:lineRule="auto"/>
      </w:pPr>
    </w:p>
    <w:p w14:paraId="00414E31" w14:textId="1C659B6F" w:rsidR="004F5FE0" w:rsidRDefault="004F5FE0" w:rsidP="004F5FE0">
      <w:pPr>
        <w:spacing w:after="0" w:line="240" w:lineRule="auto"/>
      </w:pPr>
      <w:hyperlink r:id="rId5" w:history="1">
        <w:r w:rsidRPr="00A628E2">
          <w:rPr>
            <w:rStyle w:val="Hyperlink"/>
          </w:rPr>
          <w:t>https://cases.justia.com/federal/appellate-courts/ca6/24-3116/24-3116-2025-11-26.pdf</w:t>
        </w:r>
      </w:hyperlink>
      <w:r>
        <w:t xml:space="preserve"> </w:t>
      </w:r>
    </w:p>
    <w:p w14:paraId="45D7A4ED" w14:textId="77777777" w:rsidR="004F5FE0" w:rsidRDefault="004F5FE0" w:rsidP="004F5FE0">
      <w:pPr>
        <w:spacing w:after="0" w:line="240" w:lineRule="auto"/>
      </w:pPr>
    </w:p>
    <w:p w14:paraId="1030BE9C" w14:textId="77777777" w:rsidR="004F5FE0" w:rsidRDefault="004F5FE0" w:rsidP="004F5FE0">
      <w:pPr>
        <w:spacing w:after="0" w:line="240" w:lineRule="auto"/>
      </w:pPr>
    </w:p>
    <w:p w14:paraId="04E6A91A" w14:textId="1FF20424" w:rsidR="004F5FE0" w:rsidRDefault="004F5FE0">
      <w:r>
        <w:br w:type="page"/>
      </w:r>
    </w:p>
    <w:p w14:paraId="63BBE0F7" w14:textId="77777777" w:rsidR="004F5FE0" w:rsidRPr="004F5FE0" w:rsidRDefault="004F5FE0" w:rsidP="004F5FE0">
      <w:pPr>
        <w:spacing w:after="0" w:line="240" w:lineRule="auto"/>
        <w:rPr>
          <w:b/>
          <w:bCs/>
        </w:rPr>
      </w:pPr>
      <w:r w:rsidRPr="004F5FE0">
        <w:rPr>
          <w:b/>
          <w:bCs/>
        </w:rPr>
        <w:lastRenderedPageBreak/>
        <w:t>Guptill v. City of Chattanooga</w:t>
      </w:r>
    </w:p>
    <w:p w14:paraId="0A186BDD" w14:textId="2086DD5E" w:rsidR="004F5FE0" w:rsidRDefault="004F5FE0" w:rsidP="004F5FE0">
      <w:pPr>
        <w:spacing w:after="0" w:line="240" w:lineRule="auto"/>
      </w:pPr>
      <w:r>
        <w:t>U.S. Court of Appeals for the Sixth Circuit</w:t>
      </w:r>
    </w:p>
    <w:p w14:paraId="12646A7A" w14:textId="037D9718" w:rsidR="004F5FE0" w:rsidRDefault="004F5FE0" w:rsidP="004F5FE0">
      <w:pPr>
        <w:spacing w:after="0" w:line="240" w:lineRule="auto"/>
      </w:pPr>
      <w:r>
        <w:t>24-5688</w:t>
      </w:r>
    </w:p>
    <w:p w14:paraId="3B9EE08D" w14:textId="641D25D3" w:rsidR="004F5FE0" w:rsidRDefault="004F5FE0" w:rsidP="004F5FE0">
      <w:pPr>
        <w:spacing w:after="0" w:line="240" w:lineRule="auto"/>
      </w:pPr>
      <w:r>
        <w:t>November 26, 2025</w:t>
      </w:r>
    </w:p>
    <w:p w14:paraId="591964A7" w14:textId="77777777" w:rsidR="004F5FE0" w:rsidRDefault="004F5FE0" w:rsidP="004F5FE0">
      <w:pPr>
        <w:spacing w:after="0" w:line="240" w:lineRule="auto"/>
      </w:pPr>
    </w:p>
    <w:p w14:paraId="57289CDE" w14:textId="43AE30B3" w:rsidR="004F5FE0" w:rsidRPr="004F5FE0" w:rsidRDefault="004F5FE0" w:rsidP="004F5FE0">
      <w:pPr>
        <w:spacing w:after="0" w:line="240" w:lineRule="auto"/>
        <w:rPr>
          <w:i/>
          <w:iCs/>
        </w:rPr>
      </w:pPr>
      <w:r w:rsidRPr="004F5FE0">
        <w:rPr>
          <w:i/>
          <w:iCs/>
        </w:rPr>
        <w:t>Summary: Excessive use of force was not clearly established, such as to preclude qualified immunity.</w:t>
      </w:r>
    </w:p>
    <w:p w14:paraId="4C16C5FE" w14:textId="77777777" w:rsidR="004F5FE0" w:rsidRDefault="004F5FE0" w:rsidP="004F5FE0">
      <w:pPr>
        <w:spacing w:after="0" w:line="240" w:lineRule="auto"/>
      </w:pPr>
    </w:p>
    <w:p w14:paraId="20B676D8" w14:textId="77777777" w:rsidR="004F5FE0" w:rsidRDefault="004F5FE0" w:rsidP="004F5FE0">
      <w:pPr>
        <w:spacing w:after="0" w:line="240" w:lineRule="auto"/>
      </w:pPr>
      <w:r>
        <w:t>A man seeking treatment for mental health issues voluntarily admitted himself to a hospital in Chattanooga, Tennessee. Medical staff determined he needed emergency medication and began to physically restrain him when he refused a shot. An off-duty police officer, working as a hospital security guard and wearing his police uniform, intervened. He twisted the patient's arm behind his back, and when the patient pulled away to relieve pain, the officer punched the patient’s head into a cinderblock wall, causing head trauma. The patient remained nonviolent throughout and was smaller in stature than those restraining him.</w:t>
      </w:r>
    </w:p>
    <w:p w14:paraId="12FA0095" w14:textId="77777777" w:rsidR="004F5FE0" w:rsidRDefault="004F5FE0" w:rsidP="004F5FE0">
      <w:pPr>
        <w:spacing w:after="0" w:line="240" w:lineRule="auto"/>
      </w:pPr>
    </w:p>
    <w:p w14:paraId="1BF50BE1" w14:textId="77777777" w:rsidR="004F5FE0" w:rsidRDefault="004F5FE0" w:rsidP="004F5FE0">
      <w:pPr>
        <w:spacing w:after="0" w:line="240" w:lineRule="auto"/>
      </w:pPr>
      <w:r>
        <w:t xml:space="preserve">Following the incident, the Chattanooga Police Department conducted an internal investigation. Opinions within the review process were divided, but the interim chief ultimately found no policy violation. The patient filed suit in the United States District Court for the Eastern District of Tennessee, alleging excessive force under 42 U.S.C. § 1983, multiple state-law torts, and municipal liability against the City for failing to train or supervise the officer. The district court granted summary judgment for the officer on all but the assault and battery claim, finding qualified immunity on the excessive force claim, and granted summary judgment for the </w:t>
      </w:r>
      <w:proofErr w:type="gramStart"/>
      <w:r>
        <w:t>City</w:t>
      </w:r>
      <w:proofErr w:type="gramEnd"/>
      <w:r>
        <w:t xml:space="preserve"> on all claims.</w:t>
      </w:r>
    </w:p>
    <w:p w14:paraId="22D56F9C" w14:textId="77777777" w:rsidR="004F5FE0" w:rsidRDefault="004F5FE0" w:rsidP="004F5FE0">
      <w:pPr>
        <w:spacing w:after="0" w:line="240" w:lineRule="auto"/>
      </w:pPr>
    </w:p>
    <w:p w14:paraId="2295ADAD" w14:textId="71278857" w:rsidR="004F5FE0" w:rsidRDefault="004F5FE0" w:rsidP="004F5FE0">
      <w:pPr>
        <w:spacing w:after="0" w:line="240" w:lineRule="auto"/>
      </w:pPr>
      <w:r>
        <w:t xml:space="preserve">On appeal, the United States Court of Appeals for the Sixth Circuit affirmed the district court’s judgment. The Sixth Circuit held that, although a reasonable juror could find the officer’s use of force excessive under the circumstances, the law was not clearly established that an officer in this situation could not use such force. Therefore, the officer was entitled to qualified immunity. The court also found that the </w:t>
      </w:r>
      <w:proofErr w:type="gramStart"/>
      <w:r>
        <w:t>City</w:t>
      </w:r>
      <w:proofErr w:type="gramEnd"/>
      <w:r>
        <w:t xml:space="preserve"> was not liable under Monell since the plaintiff failed to demonstrate that a final policymaker’s actions were the moving force behind his injury. The district court’s judgment was affirmed.</w:t>
      </w:r>
    </w:p>
    <w:p w14:paraId="68398EFE" w14:textId="77777777" w:rsidR="004F5FE0" w:rsidRDefault="004F5FE0" w:rsidP="004F5FE0">
      <w:pPr>
        <w:spacing w:after="0" w:line="240" w:lineRule="auto"/>
      </w:pPr>
    </w:p>
    <w:p w14:paraId="53498810" w14:textId="643B168B" w:rsidR="004F5FE0" w:rsidRDefault="00CC1439" w:rsidP="004F5FE0">
      <w:pPr>
        <w:spacing w:after="0" w:line="240" w:lineRule="auto"/>
      </w:pPr>
      <w:hyperlink r:id="rId6" w:history="1">
        <w:r w:rsidRPr="00A628E2">
          <w:rPr>
            <w:rStyle w:val="Hyperlink"/>
          </w:rPr>
          <w:t>https://cases.justia.com/federal/appellate-courts/ca6/24-5688/24-5688-2025-11-26.pdf</w:t>
        </w:r>
      </w:hyperlink>
      <w:r>
        <w:t xml:space="preserve"> </w:t>
      </w:r>
    </w:p>
    <w:p w14:paraId="332AE123" w14:textId="77777777" w:rsidR="00CC1439" w:rsidRDefault="00CC1439" w:rsidP="004F5FE0">
      <w:pPr>
        <w:spacing w:after="0" w:line="240" w:lineRule="auto"/>
      </w:pPr>
    </w:p>
    <w:p w14:paraId="53600204" w14:textId="1C7F4BD7" w:rsidR="00C7627A" w:rsidRDefault="00C7627A">
      <w:r>
        <w:br w:type="page"/>
      </w:r>
    </w:p>
    <w:p w14:paraId="57610D9B" w14:textId="77777777" w:rsidR="00C7627A" w:rsidRPr="00C7627A" w:rsidRDefault="00C7627A" w:rsidP="00C7627A">
      <w:pPr>
        <w:spacing w:after="0" w:line="240" w:lineRule="auto"/>
        <w:rPr>
          <w:b/>
          <w:bCs/>
        </w:rPr>
      </w:pPr>
      <w:r w:rsidRPr="00C7627A">
        <w:rPr>
          <w:b/>
          <w:bCs/>
        </w:rPr>
        <w:lastRenderedPageBreak/>
        <w:t>Thao v. Grady County Criminal Justice Authority</w:t>
      </w:r>
    </w:p>
    <w:p w14:paraId="49929E37" w14:textId="15004C2B" w:rsidR="00C7627A" w:rsidRDefault="00C7627A" w:rsidP="00C7627A">
      <w:pPr>
        <w:spacing w:after="0" w:line="240" w:lineRule="auto"/>
      </w:pPr>
      <w:r>
        <w:t>U.S. Court of Appeals for the Tenth Circuit</w:t>
      </w:r>
    </w:p>
    <w:p w14:paraId="77293CC9" w14:textId="345D2966" w:rsidR="00C7627A" w:rsidRDefault="00C7627A" w:rsidP="00C7627A">
      <w:pPr>
        <w:spacing w:after="0" w:line="240" w:lineRule="auto"/>
      </w:pPr>
      <w:r>
        <w:t>24-6226</w:t>
      </w:r>
    </w:p>
    <w:p w14:paraId="25E5F15E" w14:textId="2C984951" w:rsidR="00C7627A" w:rsidRDefault="00C7627A" w:rsidP="00C7627A">
      <w:pPr>
        <w:spacing w:after="0" w:line="240" w:lineRule="auto"/>
      </w:pPr>
      <w:r>
        <w:t>November 26, 2025</w:t>
      </w:r>
    </w:p>
    <w:p w14:paraId="016974F9" w14:textId="77777777" w:rsidR="00C7627A" w:rsidRDefault="00C7627A" w:rsidP="00C7627A">
      <w:pPr>
        <w:spacing w:after="0" w:line="240" w:lineRule="auto"/>
      </w:pPr>
    </w:p>
    <w:p w14:paraId="4683DA4F" w14:textId="766BA6E0" w:rsidR="00C7627A" w:rsidRPr="00C7627A" w:rsidRDefault="00C7627A" w:rsidP="00C7627A">
      <w:pPr>
        <w:spacing w:after="0" w:line="240" w:lineRule="auto"/>
        <w:rPr>
          <w:i/>
          <w:iCs/>
        </w:rPr>
      </w:pPr>
      <w:r w:rsidRPr="00C7627A">
        <w:rPr>
          <w:i/>
          <w:iCs/>
        </w:rPr>
        <w:t xml:space="preserve">Summary: A Dispute of fact existed regarding the adequacy of </w:t>
      </w:r>
      <w:proofErr w:type="gramStart"/>
      <w:r w:rsidRPr="00C7627A">
        <w:rPr>
          <w:i/>
          <w:iCs/>
        </w:rPr>
        <w:t>officer</w:t>
      </w:r>
      <w:proofErr w:type="gramEnd"/>
      <w:r w:rsidRPr="00C7627A">
        <w:rPr>
          <w:i/>
          <w:iCs/>
        </w:rPr>
        <w:t xml:space="preserve"> training.</w:t>
      </w:r>
    </w:p>
    <w:p w14:paraId="4B5AEC21" w14:textId="77777777" w:rsidR="00C7627A" w:rsidRDefault="00C7627A" w:rsidP="00C7627A">
      <w:pPr>
        <w:spacing w:after="0" w:line="240" w:lineRule="auto"/>
      </w:pPr>
    </w:p>
    <w:p w14:paraId="7A21893F" w14:textId="77777777" w:rsidR="00C7627A" w:rsidRDefault="00C7627A" w:rsidP="00C7627A">
      <w:pPr>
        <w:spacing w:after="0" w:line="240" w:lineRule="auto"/>
      </w:pPr>
      <w:r>
        <w:t xml:space="preserve">A detainee, </w:t>
      </w:r>
      <w:proofErr w:type="spellStart"/>
      <w:r>
        <w:t>Kongchi</w:t>
      </w:r>
      <w:proofErr w:type="spellEnd"/>
      <w:r>
        <w:t xml:space="preserve"> Justin Thao, died by suicide while being temporarily held at a county jail facility in Oklahoma during a transfer to a federal facility in California. Upon arrival, Mr. Thao was placed in a holding pod for short-term inmates. After attempting to leave the pod, he was restrained, handcuffed, and, while being transported, was tased by an officer before being isolated in a shower cell (Cell 126) with no camera. Over the next hour and a half, Mr. Thao repeatedly cried out for help, expressed suicidal ideation, and asked to be killed. Officers told him to be quiet but did not intervene further. Mr. Thao was later found hanging in the cell and died as a result.</w:t>
      </w:r>
    </w:p>
    <w:p w14:paraId="739B3F3A" w14:textId="77777777" w:rsidR="00C7627A" w:rsidRDefault="00C7627A" w:rsidP="00C7627A">
      <w:pPr>
        <w:spacing w:after="0" w:line="240" w:lineRule="auto"/>
      </w:pPr>
    </w:p>
    <w:p w14:paraId="25D59254" w14:textId="77777777" w:rsidR="00C7627A" w:rsidRDefault="00C7627A" w:rsidP="00C7627A">
      <w:pPr>
        <w:spacing w:after="0" w:line="240" w:lineRule="auto"/>
      </w:pPr>
      <w:r>
        <w:t>The decedent’s estate, through his brother as special administrator, filed a lawsuit under 42 U.S.C. § 1983 against the Grady County Criminal Justice Authority (GCCJA), alleging violations of the Eighth Amendment for excessive force and deliberate indifference to serious medical needs. The United States District Court for the Western District of Oklahoma granted summary judgment to GCCJA on both claims. The district court found that the facility had not been deliberately indifferent, reasoning there was evidence of training for officers on suicide risks and inmate supervision, and that the GCCJA’s written use-of-force policy was not plainly unconstitutional.</w:t>
      </w:r>
    </w:p>
    <w:p w14:paraId="0D5B568B" w14:textId="77777777" w:rsidR="00C7627A" w:rsidRDefault="00C7627A" w:rsidP="00C7627A">
      <w:pPr>
        <w:spacing w:after="0" w:line="240" w:lineRule="auto"/>
      </w:pPr>
    </w:p>
    <w:p w14:paraId="5A8D3EF6" w14:textId="0413C48D" w:rsidR="00CC1439" w:rsidRDefault="00C7627A" w:rsidP="00C7627A">
      <w:pPr>
        <w:spacing w:after="0" w:line="240" w:lineRule="auto"/>
      </w:pPr>
      <w:r>
        <w:t xml:space="preserve">On appeal, the United States Court of Appeals for the Tenth Circuit affirmed the summary judgment for GCCJA regarding the excessive force claim, holding that the written taser policy was facially constitutional and that liability could not attach to the county for an officer’s violation of that policy. However, the appellate court reversed the grant of summary judgment on the deliberate indifference claim, finding genuine disputes of material fact about whether officers had adequate training to detect suicide risks in inmates like Mr. Thao. The case was </w:t>
      </w:r>
      <w:proofErr w:type="gramStart"/>
      <w:r>
        <w:t>remanded</w:t>
      </w:r>
      <w:proofErr w:type="gramEnd"/>
      <w:r>
        <w:t xml:space="preserve"> for further proceedings on the inadequate medical care claim.</w:t>
      </w:r>
    </w:p>
    <w:p w14:paraId="33451B7A" w14:textId="77777777" w:rsidR="00C7627A" w:rsidRDefault="00C7627A" w:rsidP="00C7627A">
      <w:pPr>
        <w:spacing w:after="0" w:line="240" w:lineRule="auto"/>
      </w:pPr>
    </w:p>
    <w:p w14:paraId="7C6C486C" w14:textId="77777777" w:rsidR="00C7627A" w:rsidRDefault="00C7627A" w:rsidP="00C7627A">
      <w:pPr>
        <w:spacing w:after="0" w:line="240" w:lineRule="auto"/>
      </w:pPr>
    </w:p>
    <w:p w14:paraId="21998F8F" w14:textId="10D01E82" w:rsidR="00C7627A" w:rsidRDefault="00C7627A" w:rsidP="00C7627A">
      <w:pPr>
        <w:spacing w:after="0" w:line="240" w:lineRule="auto"/>
      </w:pPr>
      <w:hyperlink r:id="rId7" w:history="1">
        <w:r w:rsidRPr="00A628E2">
          <w:rPr>
            <w:rStyle w:val="Hyperlink"/>
          </w:rPr>
          <w:t>https://cases.justia.com/federal/appellate-courts/ca10/24-6226/24-6226-2025-11-26.pdf</w:t>
        </w:r>
      </w:hyperlink>
    </w:p>
    <w:p w14:paraId="410235F2" w14:textId="77777777" w:rsidR="00C7627A" w:rsidRDefault="00C7627A" w:rsidP="00C7627A">
      <w:pPr>
        <w:spacing w:after="0" w:line="240" w:lineRule="auto"/>
      </w:pPr>
    </w:p>
    <w:p w14:paraId="787C2C16" w14:textId="65C35BD7" w:rsidR="002340E2" w:rsidRDefault="002340E2">
      <w:r>
        <w:br w:type="page"/>
      </w:r>
    </w:p>
    <w:p w14:paraId="13B1B3F6" w14:textId="77777777" w:rsidR="002340E2" w:rsidRDefault="002340E2" w:rsidP="002340E2">
      <w:pPr>
        <w:spacing w:after="0" w:line="240" w:lineRule="auto"/>
      </w:pPr>
      <w:r>
        <w:lastRenderedPageBreak/>
        <w:t>Mormann v. City of Manchester, Iowa</w:t>
      </w:r>
    </w:p>
    <w:p w14:paraId="0D603DF4" w14:textId="77777777" w:rsidR="002340E2" w:rsidRDefault="002340E2" w:rsidP="002340E2">
      <w:pPr>
        <w:spacing w:after="0" w:line="240" w:lineRule="auto"/>
      </w:pPr>
      <w:r>
        <w:t>Court: Iowa Supreme Court</w:t>
      </w:r>
    </w:p>
    <w:p w14:paraId="5CD5E780" w14:textId="7640B8A7" w:rsidR="002340E2" w:rsidRDefault="002340E2" w:rsidP="002340E2">
      <w:pPr>
        <w:spacing w:after="0" w:line="240" w:lineRule="auto"/>
      </w:pPr>
      <w:r>
        <w:t>Dock</w:t>
      </w:r>
      <w:r>
        <w:t>e</w:t>
      </w:r>
      <w:r>
        <w:t>t: 24-0828</w:t>
      </w:r>
    </w:p>
    <w:p w14:paraId="60F6D06E" w14:textId="77777777" w:rsidR="002340E2" w:rsidRDefault="002340E2" w:rsidP="002340E2">
      <w:pPr>
        <w:spacing w:after="0" w:line="240" w:lineRule="auto"/>
      </w:pPr>
      <w:r>
        <w:t>Opinion Date: November 21, 2025</w:t>
      </w:r>
    </w:p>
    <w:p w14:paraId="77A6EC17" w14:textId="77777777" w:rsidR="002340E2" w:rsidRDefault="002340E2" w:rsidP="002340E2">
      <w:pPr>
        <w:spacing w:after="0" w:line="240" w:lineRule="auto"/>
      </w:pPr>
    </w:p>
    <w:p w14:paraId="28FEF161" w14:textId="6D31134A" w:rsidR="002340E2" w:rsidRDefault="002340E2" w:rsidP="002340E2">
      <w:pPr>
        <w:spacing w:after="0" w:line="240" w:lineRule="auto"/>
      </w:pPr>
      <w:r>
        <w:t xml:space="preserve">Summary:  </w:t>
      </w:r>
    </w:p>
    <w:p w14:paraId="577EE4D6" w14:textId="77777777" w:rsidR="002340E2" w:rsidRDefault="002340E2" w:rsidP="002340E2">
      <w:pPr>
        <w:spacing w:after="0" w:line="240" w:lineRule="auto"/>
      </w:pPr>
    </w:p>
    <w:p w14:paraId="3A1DD456" w14:textId="77777777" w:rsidR="002340E2" w:rsidRDefault="002340E2" w:rsidP="002340E2">
      <w:pPr>
        <w:spacing w:after="0" w:line="240" w:lineRule="auto"/>
      </w:pPr>
      <w:r>
        <w:t>A high-speed police pursuit in Iowa ended with a motorcycle crash that left the rider, Augustin G. Mormann, paralyzed and ultimately led to his death after life support was withdrawn. The chase began when an Iowa State Trooper attempted to stop Mormann for speeding, but he fled, weaving through traffic and entering residential neighborhoods. The trooper disengaged due to safety concerns, but Manchester police officer James Wessels continued the pursuit at speeds exceeding 100 miles per hour. During the chase on a county road, Wessels’s police cruiser struck Mormann's motorcycle, leading to a crash that caused catastrophic injuries. Mormann was hospitalized, tested positive for methamphetamine, and died after choosing to discontinue life support. His family subsequently filed a civil suit against Wessels and the City of Manchester.</w:t>
      </w:r>
    </w:p>
    <w:p w14:paraId="2567C4FB" w14:textId="77777777" w:rsidR="002340E2" w:rsidRDefault="002340E2" w:rsidP="002340E2">
      <w:pPr>
        <w:spacing w:after="0" w:line="240" w:lineRule="auto"/>
      </w:pPr>
    </w:p>
    <w:p w14:paraId="18FC8D94" w14:textId="77777777" w:rsidR="002340E2" w:rsidRDefault="002340E2" w:rsidP="002340E2">
      <w:pPr>
        <w:spacing w:after="0" w:line="240" w:lineRule="auto"/>
      </w:pPr>
      <w:r>
        <w:t>In the Iowa District Court for Delaware County, the plaintiffs asserted claims including constitutional violations and, ultimately, common law assault and battery. The district court dismissed the constitutional claims after a change in Iowa law but allowed the assault and battery claims to proceed to trial. The jury found Wessels liable for both torts, awarding $4.25 million in compensatory damages and $10,000 in punitive damages. The court denied post-trial motions for judgment notwithstanding the verdict and for a new trial.</w:t>
      </w:r>
    </w:p>
    <w:p w14:paraId="2BD029AE" w14:textId="77777777" w:rsidR="002340E2" w:rsidRDefault="002340E2" w:rsidP="002340E2">
      <w:pPr>
        <w:spacing w:after="0" w:line="240" w:lineRule="auto"/>
      </w:pPr>
    </w:p>
    <w:p w14:paraId="12A74091" w14:textId="6BDBB38D" w:rsidR="00C7627A" w:rsidRDefault="002340E2" w:rsidP="002340E2">
      <w:pPr>
        <w:spacing w:after="0" w:line="240" w:lineRule="auto"/>
      </w:pPr>
      <w:r>
        <w:t>The Iowa Supreme Court reviewed the case and affirmed the district court’s judgment. The court held that emergency response immunity under Iowa law does not shield a municipality or its officer from liability when the officer acts with reckless disregard for safety, as found by the jury. The court also concluded that the assault and battery claims were sufficiently pleaded under Iowa’s notice pleading standard, that there was substantial evidence to support the jury’s verdicts, and that the admission of the decedent’s dying declaration and evidence regarding police recording policies was proper. The punitive damages award was also upheld.</w:t>
      </w:r>
    </w:p>
    <w:p w14:paraId="282B765D" w14:textId="77777777" w:rsidR="002340E2" w:rsidRDefault="002340E2" w:rsidP="002340E2">
      <w:pPr>
        <w:spacing w:after="0" w:line="240" w:lineRule="auto"/>
      </w:pPr>
    </w:p>
    <w:p w14:paraId="15DFAEBA" w14:textId="66A17652" w:rsidR="002340E2" w:rsidRDefault="00C834C8" w:rsidP="002340E2">
      <w:pPr>
        <w:spacing w:after="0" w:line="240" w:lineRule="auto"/>
      </w:pPr>
      <w:hyperlink r:id="rId8" w:history="1">
        <w:r w:rsidRPr="00A628E2">
          <w:rPr>
            <w:rStyle w:val="Hyperlink"/>
          </w:rPr>
          <w:t>https://cases.justia.com/iowa/supreme-court/2025-24-0828.pdf</w:t>
        </w:r>
      </w:hyperlink>
      <w:r>
        <w:t xml:space="preserve">  </w:t>
      </w:r>
    </w:p>
    <w:p w14:paraId="060AF93C" w14:textId="77777777" w:rsidR="00C834C8" w:rsidRDefault="00C834C8" w:rsidP="002340E2">
      <w:pPr>
        <w:spacing w:after="0" w:line="240" w:lineRule="auto"/>
      </w:pPr>
    </w:p>
    <w:p w14:paraId="4ACDB04C" w14:textId="0866EC83" w:rsidR="0004077D" w:rsidRDefault="0004077D">
      <w:r>
        <w:br w:type="page"/>
      </w:r>
    </w:p>
    <w:p w14:paraId="7E7112D2" w14:textId="77777777" w:rsidR="0004077D" w:rsidRDefault="0004077D" w:rsidP="0004077D">
      <w:pPr>
        <w:spacing w:after="0" w:line="240" w:lineRule="auto"/>
      </w:pPr>
      <w:r>
        <w:lastRenderedPageBreak/>
        <w:t>USA v Felton</w:t>
      </w:r>
    </w:p>
    <w:p w14:paraId="42BE1261" w14:textId="77777777" w:rsidR="0004077D" w:rsidRDefault="0004077D" w:rsidP="0004077D">
      <w:pPr>
        <w:spacing w:after="0" w:line="240" w:lineRule="auto"/>
      </w:pPr>
      <w:r>
        <w:t>Court: U.S. Court of Appeals for the Seventh Circuit</w:t>
      </w:r>
    </w:p>
    <w:p w14:paraId="2F1AF457" w14:textId="77777777" w:rsidR="0004077D" w:rsidRDefault="0004077D" w:rsidP="0004077D">
      <w:pPr>
        <w:spacing w:after="0" w:line="240" w:lineRule="auto"/>
      </w:pPr>
      <w:r>
        <w:t>Docket: 23-1352</w:t>
      </w:r>
    </w:p>
    <w:p w14:paraId="39CCCEDA" w14:textId="77777777" w:rsidR="0004077D" w:rsidRDefault="0004077D" w:rsidP="0004077D">
      <w:pPr>
        <w:spacing w:after="0" w:line="240" w:lineRule="auto"/>
      </w:pPr>
      <w:r>
        <w:t>Opinion Date: November 25, 2025</w:t>
      </w:r>
    </w:p>
    <w:p w14:paraId="012866A7" w14:textId="77777777" w:rsidR="0004077D" w:rsidRDefault="0004077D" w:rsidP="0004077D">
      <w:pPr>
        <w:spacing w:after="0" w:line="240" w:lineRule="auto"/>
      </w:pPr>
    </w:p>
    <w:p w14:paraId="56B5A5B3" w14:textId="6E350EBE" w:rsidR="0004077D" w:rsidRDefault="0004077D" w:rsidP="0004077D">
      <w:pPr>
        <w:spacing w:after="0" w:line="240" w:lineRule="auto"/>
      </w:pPr>
      <w:r>
        <w:t xml:space="preserve">Summary: </w:t>
      </w:r>
    </w:p>
    <w:p w14:paraId="11A2B46C" w14:textId="77777777" w:rsidR="0004077D" w:rsidRDefault="0004077D" w:rsidP="0004077D">
      <w:pPr>
        <w:spacing w:after="0" w:line="240" w:lineRule="auto"/>
      </w:pPr>
    </w:p>
    <w:p w14:paraId="29F05865" w14:textId="77777777" w:rsidR="0004077D" w:rsidRDefault="0004077D" w:rsidP="0004077D">
      <w:pPr>
        <w:spacing w:after="0" w:line="240" w:lineRule="auto"/>
      </w:pPr>
      <w:r>
        <w:t xml:space="preserve">Donald Felton was investigated after a confidential source informed law enforcement that Felton made trips from Taylorville, Illinois, to St. Louis, Missouri, to purchase methamphetamine for resale. The source described Felton’s routine, including his use of a white Mazda SUV registered to his girlfriend and referenced a prior traffic stop involving Felton. Inspector Brown corroborated some details by reviewing police records and speaking with another officer about the earlier </w:t>
      </w:r>
      <w:proofErr w:type="gramStart"/>
      <w:r>
        <w:t>stop, but</w:t>
      </w:r>
      <w:proofErr w:type="gramEnd"/>
      <w:r>
        <w:t xml:space="preserve"> found no drugs during that encounter. Relying on this information and Felton’s criminal history, Inspector Brown prepared an affidavit seeking a warrant to install a tracking device on the SUV.</w:t>
      </w:r>
    </w:p>
    <w:p w14:paraId="047BE746" w14:textId="77777777" w:rsidR="0004077D" w:rsidRDefault="0004077D" w:rsidP="0004077D">
      <w:pPr>
        <w:spacing w:after="0" w:line="240" w:lineRule="auto"/>
      </w:pPr>
    </w:p>
    <w:p w14:paraId="20640DF9" w14:textId="77777777" w:rsidR="0004077D" w:rsidRDefault="0004077D" w:rsidP="0004077D">
      <w:pPr>
        <w:spacing w:after="0" w:line="240" w:lineRule="auto"/>
      </w:pPr>
      <w:r>
        <w:t>The affidavit, submitted to the Circuit Court of Christian County, supported the issuance of the warrant. However, it omitted substantial information about the confidential source’s credibility, such as payments to the source, the source’s cooperation in exchange for consideration in legal matters, and the source’s own criminal history and pending charges. Based on the warrant, the tracking device was installed, and later, Felton was stopped and methamphetamine was found in the vehicle. Felton was indicted in the United States District Court for the Central District of Illinois and moved to suppress the evidence, arguing the warrant was not supported by probable cause and requesting a Franks hearing regarding omissions in the affidavit. The district court denied both requests, concluding the affidavit was sufficiently corroborated and that Felton failed to show material omissions affecting probable cause.</w:t>
      </w:r>
    </w:p>
    <w:p w14:paraId="3978BD02" w14:textId="77777777" w:rsidR="0004077D" w:rsidRDefault="0004077D" w:rsidP="0004077D">
      <w:pPr>
        <w:spacing w:after="0" w:line="240" w:lineRule="auto"/>
      </w:pPr>
    </w:p>
    <w:p w14:paraId="6F8C0C0B" w14:textId="67F7CE5D" w:rsidR="00C834C8" w:rsidRDefault="0004077D" w:rsidP="0004077D">
      <w:pPr>
        <w:spacing w:after="0" w:line="240" w:lineRule="auto"/>
      </w:pPr>
      <w:r>
        <w:t xml:space="preserve">The United States Court of Appeals for the Seventh Circuit reviewed the case. It held that the search warrant affidavit was insufficient to support probable cause because it relied almost exclusively on the confidential source and omitted material information regarding the source’s credibility. The </w:t>
      </w:r>
      <w:proofErr w:type="gramStart"/>
      <w:r>
        <w:t>court further</w:t>
      </w:r>
      <w:proofErr w:type="gramEnd"/>
      <w:r>
        <w:t xml:space="preserve"> concluded that Felton made a substantial preliminary showing warranting a Franks hearing. The appellate court reversed the denial of Felton’s suppression motion and </w:t>
      </w:r>
      <w:proofErr w:type="gramStart"/>
      <w:r>
        <w:t>remanded</w:t>
      </w:r>
      <w:proofErr w:type="gramEnd"/>
      <w:r>
        <w:t xml:space="preserve"> for an evidentiary hearing.</w:t>
      </w:r>
    </w:p>
    <w:p w14:paraId="45769D43" w14:textId="77777777" w:rsidR="0004077D" w:rsidRDefault="0004077D" w:rsidP="0004077D">
      <w:pPr>
        <w:spacing w:after="0" w:line="240" w:lineRule="auto"/>
      </w:pPr>
    </w:p>
    <w:p w14:paraId="1A014FF6" w14:textId="77777777" w:rsidR="0004077D" w:rsidRDefault="0004077D" w:rsidP="0004077D">
      <w:pPr>
        <w:spacing w:after="0" w:line="240" w:lineRule="auto"/>
      </w:pPr>
    </w:p>
    <w:p w14:paraId="2A41CEA5" w14:textId="30F7B642" w:rsidR="0004077D" w:rsidRDefault="0004077D" w:rsidP="0004077D">
      <w:pPr>
        <w:spacing w:after="0" w:line="240" w:lineRule="auto"/>
      </w:pPr>
      <w:hyperlink r:id="rId9" w:history="1">
        <w:r w:rsidRPr="00A628E2">
          <w:rPr>
            <w:rStyle w:val="Hyperlink"/>
          </w:rPr>
          <w:t>https://cases.justia.com/federal/appellate-courts/ca7/23-1352/23-1352-2025-11-25.pdf</w:t>
        </w:r>
      </w:hyperlink>
      <w:r>
        <w:t xml:space="preserve">  </w:t>
      </w:r>
    </w:p>
    <w:p w14:paraId="6DAF713F" w14:textId="77777777" w:rsidR="0004077D" w:rsidRDefault="0004077D" w:rsidP="0004077D">
      <w:pPr>
        <w:spacing w:after="0" w:line="240" w:lineRule="auto"/>
      </w:pPr>
    </w:p>
    <w:p w14:paraId="37FC8EA1" w14:textId="6EF878F2" w:rsidR="0004077D" w:rsidRDefault="0004077D">
      <w:r>
        <w:br w:type="page"/>
      </w:r>
    </w:p>
    <w:p w14:paraId="4D44E089" w14:textId="77777777" w:rsidR="0004077D" w:rsidRDefault="0004077D" w:rsidP="0004077D">
      <w:pPr>
        <w:spacing w:after="0" w:line="240" w:lineRule="auto"/>
      </w:pPr>
    </w:p>
    <w:sectPr w:rsidR="00040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53D"/>
    <w:rsid w:val="0004077D"/>
    <w:rsid w:val="000D5627"/>
    <w:rsid w:val="002340E2"/>
    <w:rsid w:val="004F5FE0"/>
    <w:rsid w:val="005D0F50"/>
    <w:rsid w:val="00881A09"/>
    <w:rsid w:val="00A00328"/>
    <w:rsid w:val="00C12DDB"/>
    <w:rsid w:val="00C5653D"/>
    <w:rsid w:val="00C7627A"/>
    <w:rsid w:val="00C834C8"/>
    <w:rsid w:val="00CC1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5A41"/>
  <w15:chartTrackingRefBased/>
  <w15:docId w15:val="{5D70A2F3-F74A-4566-A335-0941D2083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53D"/>
    <w:rPr>
      <w:rFonts w:eastAsiaTheme="majorEastAsia" w:cstheme="majorBidi"/>
      <w:color w:val="272727" w:themeColor="text1" w:themeTint="D8"/>
    </w:rPr>
  </w:style>
  <w:style w:type="paragraph" w:styleId="Title">
    <w:name w:val="Title"/>
    <w:basedOn w:val="Normal"/>
    <w:next w:val="Normal"/>
    <w:link w:val="TitleChar"/>
    <w:uiPriority w:val="10"/>
    <w:qFormat/>
    <w:rsid w:val="00C56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53D"/>
    <w:pPr>
      <w:spacing w:before="160"/>
      <w:jc w:val="center"/>
    </w:pPr>
    <w:rPr>
      <w:i/>
      <w:iCs/>
      <w:color w:val="404040" w:themeColor="text1" w:themeTint="BF"/>
    </w:rPr>
  </w:style>
  <w:style w:type="character" w:customStyle="1" w:styleId="QuoteChar">
    <w:name w:val="Quote Char"/>
    <w:basedOn w:val="DefaultParagraphFont"/>
    <w:link w:val="Quote"/>
    <w:uiPriority w:val="29"/>
    <w:rsid w:val="00C5653D"/>
    <w:rPr>
      <w:i/>
      <w:iCs/>
      <w:color w:val="404040" w:themeColor="text1" w:themeTint="BF"/>
    </w:rPr>
  </w:style>
  <w:style w:type="paragraph" w:styleId="ListParagraph">
    <w:name w:val="List Paragraph"/>
    <w:basedOn w:val="Normal"/>
    <w:uiPriority w:val="34"/>
    <w:qFormat/>
    <w:rsid w:val="00C5653D"/>
    <w:pPr>
      <w:ind w:left="720"/>
      <w:contextualSpacing/>
    </w:pPr>
  </w:style>
  <w:style w:type="character" w:styleId="IntenseEmphasis">
    <w:name w:val="Intense Emphasis"/>
    <w:basedOn w:val="DefaultParagraphFont"/>
    <w:uiPriority w:val="21"/>
    <w:qFormat/>
    <w:rsid w:val="00C5653D"/>
    <w:rPr>
      <w:i/>
      <w:iCs/>
      <w:color w:val="0F4761" w:themeColor="accent1" w:themeShade="BF"/>
    </w:rPr>
  </w:style>
  <w:style w:type="paragraph" w:styleId="IntenseQuote">
    <w:name w:val="Intense Quote"/>
    <w:basedOn w:val="Normal"/>
    <w:next w:val="Normal"/>
    <w:link w:val="IntenseQuoteChar"/>
    <w:uiPriority w:val="30"/>
    <w:qFormat/>
    <w:rsid w:val="00C56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53D"/>
    <w:rPr>
      <w:i/>
      <w:iCs/>
      <w:color w:val="0F4761" w:themeColor="accent1" w:themeShade="BF"/>
    </w:rPr>
  </w:style>
  <w:style w:type="character" w:styleId="IntenseReference">
    <w:name w:val="Intense Reference"/>
    <w:basedOn w:val="DefaultParagraphFont"/>
    <w:uiPriority w:val="32"/>
    <w:qFormat/>
    <w:rsid w:val="00C5653D"/>
    <w:rPr>
      <w:b/>
      <w:bCs/>
      <w:smallCaps/>
      <w:color w:val="0F4761" w:themeColor="accent1" w:themeShade="BF"/>
      <w:spacing w:val="5"/>
    </w:rPr>
  </w:style>
  <w:style w:type="character" w:styleId="Hyperlink">
    <w:name w:val="Hyperlink"/>
    <w:basedOn w:val="DefaultParagraphFont"/>
    <w:uiPriority w:val="99"/>
    <w:unhideWhenUsed/>
    <w:rsid w:val="00A00328"/>
    <w:rPr>
      <w:color w:val="467886" w:themeColor="hyperlink"/>
      <w:u w:val="single"/>
    </w:rPr>
  </w:style>
  <w:style w:type="character" w:styleId="UnresolvedMention">
    <w:name w:val="Unresolved Mention"/>
    <w:basedOn w:val="DefaultParagraphFont"/>
    <w:uiPriority w:val="99"/>
    <w:semiHidden/>
    <w:unhideWhenUsed/>
    <w:rsid w:val="00A00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iowa/supreme-court/2025-24-0828.pdf" TargetMode="External"/><Relationship Id="rId3" Type="http://schemas.openxmlformats.org/officeDocument/2006/relationships/webSettings" Target="webSettings.xml"/><Relationship Id="rId7" Type="http://schemas.openxmlformats.org/officeDocument/2006/relationships/hyperlink" Target="https://cases.justia.com/federal/appellate-courts/ca10/24-6226/24-6226-2025-11-26.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6/24-5688/24-5688-2025-11-26.pdf" TargetMode="External"/><Relationship Id="rId11" Type="http://schemas.openxmlformats.org/officeDocument/2006/relationships/theme" Target="theme/theme1.xml"/><Relationship Id="rId5" Type="http://schemas.openxmlformats.org/officeDocument/2006/relationships/hyperlink" Target="https://cases.justia.com/federal/appellate-courts/ca6/24-3116/24-3116-2025-11-26.pdf" TargetMode="External"/><Relationship Id="rId10" Type="http://schemas.openxmlformats.org/officeDocument/2006/relationships/fontTable" Target="fontTable.xml"/><Relationship Id="rId4" Type="http://schemas.openxmlformats.org/officeDocument/2006/relationships/hyperlink" Target="https://cases.justia.com/federal/appellate-courts/ca5/24-60473/24-60473-2025-11-26.pdf" TargetMode="External"/><Relationship Id="rId9" Type="http://schemas.openxmlformats.org/officeDocument/2006/relationships/hyperlink" Target="https://cases.justia.com/federal/appellate-courts/ca7/23-1352/23-1352-2025-11-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1209</TotalTime>
  <Pages>7</Pages>
  <Words>2109</Words>
  <Characters>12024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2025-11-28T16:13:00Z</dcterms:created>
  <dcterms:modified xsi:type="dcterms:W3CDTF">2025-11-29T12:22:00Z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72c26e03-a336-42bb-b11b-4e959aa34ef5</vt:lpwstr>
  </property>
</Properties>
</file>