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3CDF" w14:textId="0EDD9B72" w:rsidR="00533A48" w:rsidRDefault="007B660D">
      <w:r>
        <w:t>BF5 31JAN2025</w:t>
      </w:r>
    </w:p>
    <w:p w14:paraId="4D355677" w14:textId="77777777" w:rsidR="007B660D" w:rsidRDefault="007B660D"/>
    <w:p w14:paraId="0B1DEC4B" w14:textId="77777777" w:rsidR="000312AE" w:rsidRPr="00EA1FED" w:rsidRDefault="000312AE" w:rsidP="000312AE">
      <w:pPr>
        <w:rPr>
          <w:b/>
          <w:bCs/>
        </w:rPr>
      </w:pPr>
      <w:r w:rsidRPr="00EA1FED">
        <w:rPr>
          <w:b/>
          <w:bCs/>
        </w:rPr>
        <w:t>State v. Smith</w:t>
      </w:r>
    </w:p>
    <w:p w14:paraId="64BF57B0" w14:textId="101F7E40" w:rsidR="000312AE" w:rsidRDefault="000312AE" w:rsidP="000312AE">
      <w:r>
        <w:t>Idaho Supreme Court - Criminal</w:t>
      </w:r>
    </w:p>
    <w:p w14:paraId="5BC9BE6F" w14:textId="296D9039" w:rsidR="000312AE" w:rsidRDefault="00EA1FED" w:rsidP="000312AE">
      <w:r>
        <w:t>J</w:t>
      </w:r>
      <w:r w:rsidR="000312AE">
        <w:t>anuary 30, 2025</w:t>
      </w:r>
    </w:p>
    <w:p w14:paraId="659BA23B" w14:textId="77777777" w:rsidR="000312AE" w:rsidRDefault="000312AE" w:rsidP="000312AE"/>
    <w:p w14:paraId="141BAD35" w14:textId="6EB4562B" w:rsidR="000312AE" w:rsidRPr="00DE6CDB" w:rsidRDefault="00EA1FED" w:rsidP="000312AE">
      <w:pPr>
        <w:rPr>
          <w:i/>
          <w:iCs/>
        </w:rPr>
      </w:pPr>
      <w:r w:rsidRPr="00DE6CDB">
        <w:rPr>
          <w:i/>
          <w:iCs/>
        </w:rPr>
        <w:t xml:space="preserve">LEO LAW Topics </w:t>
      </w:r>
      <w:r w:rsidR="00B22E52" w:rsidRPr="00DE6CDB">
        <w:rPr>
          <w:i/>
          <w:iCs/>
        </w:rPr>
        <w:t>5-20, 5-31</w:t>
      </w:r>
      <w:r w:rsidRPr="00DE6CDB">
        <w:rPr>
          <w:i/>
          <w:iCs/>
        </w:rPr>
        <w:t xml:space="preserve">: </w:t>
      </w:r>
      <w:r w:rsidR="00B22E52" w:rsidRPr="00DE6CDB">
        <w:rPr>
          <w:i/>
          <w:iCs/>
        </w:rPr>
        <w:t>I</w:t>
      </w:r>
      <w:r w:rsidRPr="00DE6CDB">
        <w:rPr>
          <w:i/>
          <w:iCs/>
        </w:rPr>
        <w:t>mpoundment of vehicle did not meet community caretaking</w:t>
      </w:r>
      <w:r w:rsidR="00DE6CDB">
        <w:rPr>
          <w:i/>
          <w:iCs/>
        </w:rPr>
        <w:t>,</w:t>
      </w:r>
      <w:r w:rsidRPr="00DE6CDB">
        <w:rPr>
          <w:i/>
          <w:iCs/>
        </w:rPr>
        <w:t xml:space="preserve"> so subsequent inventory was unlawful</w:t>
      </w:r>
      <w:r w:rsidR="00B22E52" w:rsidRPr="00DE6CDB">
        <w:rPr>
          <w:i/>
          <w:iCs/>
        </w:rPr>
        <w:t>.</w:t>
      </w:r>
    </w:p>
    <w:p w14:paraId="04D08AEC" w14:textId="77777777" w:rsidR="000312AE" w:rsidRDefault="000312AE" w:rsidP="000312AE"/>
    <w:p w14:paraId="4F6E29D8" w14:textId="77777777" w:rsidR="000312AE" w:rsidRDefault="000312AE" w:rsidP="000312AE">
      <w:proofErr w:type="spellStart"/>
      <w:r>
        <w:t>Chadlen</w:t>
      </w:r>
      <w:proofErr w:type="spellEnd"/>
      <w:r>
        <w:t xml:space="preserve"> Dewayne Smith was convicted of sexual exploitation of a child by possession of sexually exploitative material. The case began when Smith was arrested for stalking a police dispatcher. Following his arrest, law enforcement impounded his vehicle and conducted an inventory search, during which they seized electronic devices containing sexually exploitative materials. Smith challenged the district court's denial of his motion to suppress the evidence found on these devices.</w:t>
      </w:r>
    </w:p>
    <w:p w14:paraId="50482074" w14:textId="77777777" w:rsidR="000312AE" w:rsidRDefault="000312AE" w:rsidP="000312AE"/>
    <w:p w14:paraId="7A11EBF0" w14:textId="772C0478" w:rsidR="000312AE" w:rsidRDefault="000312AE" w:rsidP="000312AE">
      <w:r>
        <w:t xml:space="preserve">The District Court of the First Judicial District, Kootenai County, denied Smith's motion to suppress, concluding that there was probable cause for his arrest for stalking and that the impoundment and inventory search of his vehicle were reasonable and conducted </w:t>
      </w:r>
      <w:r w:rsidR="00DE6CDB">
        <w:t>in accordance with</w:t>
      </w:r>
      <w:r>
        <w:t xml:space="preserve"> police procedures. Smith was subsequently convicted by a jury of sexual exploitation of a child but acquitted of distributing obscene material. He appealed the conviction, arguing that the evidence obtained from the inventory search should have been suppressed.</w:t>
      </w:r>
    </w:p>
    <w:p w14:paraId="1C954250" w14:textId="77777777" w:rsidR="000312AE" w:rsidRDefault="000312AE" w:rsidP="000312AE"/>
    <w:p w14:paraId="2D4B54AD" w14:textId="251DAEBC" w:rsidR="007B660D" w:rsidRDefault="000312AE" w:rsidP="000312AE">
      <w:r>
        <w:t>The Supreme Court of the State of Idaho reviewed the case and reversed the district court's decision. The court held that the State did not meet its burden to show that the police officer's decision to impound Smith's vehicle served a community caretaking purpose. The impoundment was deemed unreasonable under the Fourth Amendment, making the subsequent inventory search unconstitutional. As a result, the evidence obtained from the search was inadmissible, leading to the vacating of Smith's conviction.</w:t>
      </w:r>
    </w:p>
    <w:p w14:paraId="6F647F1A" w14:textId="77777777" w:rsidR="000312AE" w:rsidRDefault="000312AE" w:rsidP="000312AE"/>
    <w:p w14:paraId="569C0BF8" w14:textId="77777777" w:rsidR="000312AE" w:rsidRDefault="000312AE" w:rsidP="000312AE"/>
    <w:p w14:paraId="7F0EAB4F" w14:textId="65EE6CE8" w:rsidR="00D43053" w:rsidRPr="00EA1FED" w:rsidRDefault="00EA1FED" w:rsidP="00D43053">
      <w:pPr>
        <w:rPr>
          <w:b/>
          <w:bCs/>
        </w:rPr>
      </w:pPr>
      <w:r w:rsidRPr="00EA1FED">
        <w:rPr>
          <w:b/>
          <w:bCs/>
        </w:rPr>
        <w:t>S</w:t>
      </w:r>
      <w:r w:rsidR="00D43053" w:rsidRPr="00EA1FED">
        <w:rPr>
          <w:b/>
          <w:bCs/>
        </w:rPr>
        <w:t>tate of Iowa v. Brown</w:t>
      </w:r>
    </w:p>
    <w:p w14:paraId="4C218EAB" w14:textId="0A943FA9" w:rsidR="00D43053" w:rsidRDefault="00D43053" w:rsidP="00D43053">
      <w:r>
        <w:t>Iowa Supreme Court</w:t>
      </w:r>
    </w:p>
    <w:p w14:paraId="00CDC524" w14:textId="745AF7E1" w:rsidR="00D43053" w:rsidRDefault="00D43053" w:rsidP="00D43053">
      <w:r>
        <w:t>January 24, 2025</w:t>
      </w:r>
    </w:p>
    <w:p w14:paraId="7110B23E" w14:textId="77777777" w:rsidR="00D43053" w:rsidRDefault="00D43053" w:rsidP="00D43053"/>
    <w:p w14:paraId="43242798" w14:textId="1BF256AE" w:rsidR="00D43053" w:rsidRPr="00DE6CDB" w:rsidRDefault="00EA1FED" w:rsidP="00D43053">
      <w:pPr>
        <w:rPr>
          <w:i/>
          <w:iCs/>
        </w:rPr>
      </w:pPr>
      <w:r w:rsidRPr="00DE6CDB">
        <w:rPr>
          <w:i/>
          <w:iCs/>
        </w:rPr>
        <w:t xml:space="preserve">LEO LAW Topics </w:t>
      </w:r>
      <w:r w:rsidR="00DE6CDB" w:rsidRPr="00DE6CDB">
        <w:rPr>
          <w:i/>
          <w:iCs/>
        </w:rPr>
        <w:t>1-7, 10-1</w:t>
      </w:r>
      <w:r w:rsidRPr="00DE6CDB">
        <w:rPr>
          <w:i/>
          <w:iCs/>
        </w:rPr>
        <w:t xml:space="preserve">: </w:t>
      </w:r>
      <w:r w:rsidR="00DE6CDB" w:rsidRPr="00DE6CDB">
        <w:rPr>
          <w:i/>
          <w:iCs/>
        </w:rPr>
        <w:t xml:space="preserve">The </w:t>
      </w:r>
      <w:r w:rsidRPr="00DE6CDB">
        <w:rPr>
          <w:i/>
          <w:iCs/>
        </w:rPr>
        <w:t xml:space="preserve">shared knowledge doctrine </w:t>
      </w:r>
      <w:r w:rsidR="00DE6CDB" w:rsidRPr="00DE6CDB">
        <w:rPr>
          <w:i/>
          <w:iCs/>
        </w:rPr>
        <w:t xml:space="preserve">provided the requisite reasonable suspicion to justify the </w:t>
      </w:r>
      <w:r w:rsidRPr="00DE6CDB">
        <w:rPr>
          <w:i/>
          <w:iCs/>
        </w:rPr>
        <w:t xml:space="preserve">extension of </w:t>
      </w:r>
      <w:r w:rsidR="00DE6CDB" w:rsidRPr="00DE6CDB">
        <w:rPr>
          <w:i/>
          <w:iCs/>
        </w:rPr>
        <w:t>a</w:t>
      </w:r>
      <w:r w:rsidRPr="00DE6CDB">
        <w:rPr>
          <w:i/>
          <w:iCs/>
        </w:rPr>
        <w:t xml:space="preserve"> traffic stop</w:t>
      </w:r>
      <w:r w:rsidR="00DE6CDB" w:rsidRPr="00DE6CDB">
        <w:rPr>
          <w:i/>
          <w:iCs/>
        </w:rPr>
        <w:t xml:space="preserve">. </w:t>
      </w:r>
    </w:p>
    <w:p w14:paraId="6BE2D227" w14:textId="77777777" w:rsidR="00DE6CDB" w:rsidRDefault="00DE6CDB" w:rsidP="00D43053"/>
    <w:p w14:paraId="5D0FC5EA" w14:textId="48A4C3AF" w:rsidR="00D43053" w:rsidRDefault="00DE6CDB" w:rsidP="00D43053">
      <w:r>
        <w:t>An</w:t>
      </w:r>
      <w:r w:rsidR="00D43053">
        <w:t xml:space="preserve"> officer on patrol stopped a vehicle for a traffic infraction after receiving information that the vehicle’s occupants might have been involved in a drug sale. After initially interacting with the driver, the officer waited for backup before removing the occupants and conducting a search with a drug-sniffing dog, which led to the discovery of a gun. The passenger, </w:t>
      </w:r>
      <w:proofErr w:type="spellStart"/>
      <w:r w:rsidR="00D43053">
        <w:t>Tyre</w:t>
      </w:r>
      <w:proofErr w:type="spellEnd"/>
      <w:r w:rsidR="00D43053">
        <w:t xml:space="preserve"> Brown, admitted ownership of the gun and was charged with unlawful possession of a firearm. Brown argued that the officer unlawfully prolonged the stop beyond the time necessary to address the traffic infraction, violating his constitutional rights.</w:t>
      </w:r>
    </w:p>
    <w:p w14:paraId="412877BA" w14:textId="77777777" w:rsidR="00D43053" w:rsidRDefault="00D43053" w:rsidP="00D43053"/>
    <w:p w14:paraId="4885EC9E" w14:textId="1B23BCFB" w:rsidR="00D43053" w:rsidRDefault="00D43053" w:rsidP="00D43053">
      <w:r>
        <w:t>The Iowa District Court for Polk County denied Brown’s motion to suppress the evidence obtained from the search. Brown was found guilty</w:t>
      </w:r>
      <w:r w:rsidR="00DE6CDB">
        <w:t xml:space="preserve"> and</w:t>
      </w:r>
      <w:r>
        <w:t xml:space="preserve"> appealed the denial of his motion to suppress</w:t>
      </w:r>
      <w:r w:rsidR="00DE6CDB">
        <w:t>. The</w:t>
      </w:r>
      <w:r>
        <w:t xml:space="preserve"> Iowa Court of Appeals affirmed the district court’s ruling</w:t>
      </w:r>
      <w:r w:rsidR="00DE6CDB">
        <w:t>, concluding t</w:t>
      </w:r>
      <w:r>
        <w:t xml:space="preserve">hat the extension of the stop was permissible </w:t>
      </w:r>
      <w:r>
        <w:lastRenderedPageBreak/>
        <w:t>under the shared-knowledge doctrine and that the officer had smelled marijuana, justifying further investigation.</w:t>
      </w:r>
    </w:p>
    <w:p w14:paraId="54D33F44" w14:textId="77777777" w:rsidR="00D43053" w:rsidRDefault="00D43053" w:rsidP="00D43053"/>
    <w:p w14:paraId="486563D7" w14:textId="472EF3B0" w:rsidR="000312AE" w:rsidRDefault="00D43053" w:rsidP="00D43053">
      <w:r>
        <w:t>The Iowa Supreme Court reviewed the case and affirmed the lower courts' decisions. The court held that the shared-knowledge doctrine allowed the officer to act on information provided by another officer who had observed a potential drug transaction, thus justifying the extension of the stop. The court found that the extension of the stop to investigate for drugs did not violate Brown’s constitutional rights. Consequently, the district court’s ruling denying Brown’s motion to suppress was affirmed.</w:t>
      </w:r>
    </w:p>
    <w:p w14:paraId="234F990C" w14:textId="77777777" w:rsidR="00D43053" w:rsidRDefault="00D43053" w:rsidP="00D43053"/>
    <w:p w14:paraId="3D9F064F" w14:textId="77777777" w:rsidR="00D43053" w:rsidRDefault="00D43053" w:rsidP="00D43053"/>
    <w:p w14:paraId="17A675AD" w14:textId="77777777" w:rsidR="00D43053" w:rsidRPr="00EA1FED" w:rsidRDefault="00D43053" w:rsidP="00D43053">
      <w:pPr>
        <w:rPr>
          <w:b/>
          <w:bCs/>
        </w:rPr>
      </w:pPr>
      <w:r w:rsidRPr="00EA1FED">
        <w:rPr>
          <w:b/>
          <w:bCs/>
        </w:rPr>
        <w:t>Carmona v. Olvera</w:t>
      </w:r>
    </w:p>
    <w:p w14:paraId="7510FD87" w14:textId="552268AE" w:rsidR="00D43053" w:rsidRDefault="00D43053" w:rsidP="00D43053">
      <w:r>
        <w:t>U.S. Court of Appeals for the Fifth Circuit</w:t>
      </w:r>
    </w:p>
    <w:p w14:paraId="02DBC9CE" w14:textId="2416C589" w:rsidR="00D43053" w:rsidRDefault="00D43053" w:rsidP="00D43053">
      <w:r>
        <w:t>January 28, 2025</w:t>
      </w:r>
    </w:p>
    <w:p w14:paraId="44D98B19" w14:textId="77777777" w:rsidR="00D43053" w:rsidRDefault="00D43053" w:rsidP="00D43053"/>
    <w:p w14:paraId="0D6F1769" w14:textId="57C422E1" w:rsidR="00D43053" w:rsidRPr="000B582B" w:rsidRDefault="00EA1FED" w:rsidP="00D43053">
      <w:pPr>
        <w:rPr>
          <w:i/>
          <w:iCs/>
        </w:rPr>
      </w:pPr>
      <w:r w:rsidRPr="000B582B">
        <w:rPr>
          <w:i/>
          <w:iCs/>
        </w:rPr>
        <w:t xml:space="preserve">LEO LAW Topics </w:t>
      </w:r>
      <w:r w:rsidR="000B582B" w:rsidRPr="000B582B">
        <w:rPr>
          <w:i/>
          <w:iCs/>
        </w:rPr>
        <w:t>8-7, 9-12</w:t>
      </w:r>
      <w:r w:rsidRPr="000B582B">
        <w:rPr>
          <w:i/>
          <w:iCs/>
        </w:rPr>
        <w:t xml:space="preserve">: </w:t>
      </w:r>
      <w:r w:rsidR="000B582B" w:rsidRPr="000B582B">
        <w:rPr>
          <w:i/>
          <w:iCs/>
        </w:rPr>
        <w:t>A</w:t>
      </w:r>
      <w:r w:rsidRPr="000B582B">
        <w:rPr>
          <w:i/>
          <w:iCs/>
        </w:rPr>
        <w:t xml:space="preserve">ctual knowledge of risk </w:t>
      </w:r>
      <w:r w:rsidR="000B582B" w:rsidRPr="000B582B">
        <w:rPr>
          <w:i/>
          <w:iCs/>
        </w:rPr>
        <w:t xml:space="preserve">is </w:t>
      </w:r>
      <w:r w:rsidRPr="000B582B">
        <w:rPr>
          <w:i/>
          <w:iCs/>
        </w:rPr>
        <w:t xml:space="preserve">required for </w:t>
      </w:r>
      <w:r w:rsidR="000B582B" w:rsidRPr="000B582B">
        <w:rPr>
          <w:i/>
          <w:iCs/>
        </w:rPr>
        <w:t xml:space="preserve">officer </w:t>
      </w:r>
      <w:r w:rsidRPr="000B582B">
        <w:rPr>
          <w:i/>
          <w:iCs/>
        </w:rPr>
        <w:t>liability for lack of medical attention</w:t>
      </w:r>
      <w:r w:rsidR="000B582B" w:rsidRPr="000B582B">
        <w:rPr>
          <w:i/>
          <w:iCs/>
        </w:rPr>
        <w:t>.</w:t>
      </w:r>
    </w:p>
    <w:p w14:paraId="79E1E24B" w14:textId="77777777" w:rsidR="00D43053" w:rsidRDefault="00D43053" w:rsidP="00D43053"/>
    <w:p w14:paraId="69B35E90" w14:textId="77777777" w:rsidR="00D43053" w:rsidRDefault="00D43053" w:rsidP="00D43053">
      <w:r>
        <w:t>Ignacia Carmona, representing herself and the estate of Veronica Carmona, filed a lawsuit against the City of Brownsville and several officers, claiming that the officers failed to provide necessary medical care to Veronica Carmona, who died while in pretrial detention. Veronica had been involved in multiple car accidents on the same night and exhibited visible injuries. Despite this, the officers did not seek medical attention for her, and she was later found dead in her cell due to internal bleeding from liver lacerations.</w:t>
      </w:r>
    </w:p>
    <w:p w14:paraId="213FBC51" w14:textId="77777777" w:rsidR="00D43053" w:rsidRDefault="00D43053" w:rsidP="00D43053"/>
    <w:p w14:paraId="25282886" w14:textId="77777777" w:rsidR="00D43053" w:rsidRDefault="00D43053" w:rsidP="00D43053">
      <w:r>
        <w:t>The United States District Court for the Southern District of Texas dismissed the claims against the officers, granting them qualified immunity. The court concluded that the complaint did not plausibly allege that the officers had subjective knowledge of a substantial risk of serious harm to Veronica Carmona. The court found that the officers' failure to seek medical care did not amount to deliberate indifference because the injuries were not visibly apparent, and there were no complaints from Carmona that revealed the full extent of her injuries.</w:t>
      </w:r>
    </w:p>
    <w:p w14:paraId="10A75FE5" w14:textId="77777777" w:rsidR="00D43053" w:rsidRDefault="00D43053" w:rsidP="00D43053"/>
    <w:p w14:paraId="5B67D946" w14:textId="0016850D" w:rsidR="00D43053" w:rsidRDefault="00D43053" w:rsidP="00D43053">
      <w:r>
        <w:t>The United States Court of Appeals for the Fifth Circuit reviewed the case and affirmed the district court's decision. The appellate court held that the plaintiff failed to plausibly allege that the officers were subjectively aware of the risk of internal bleeding. The court emphasized that actual knowledge of the risk is required for liability, and mere negligence or the fact that the officers should have known about the risk is insufficient. As a result, the officers were entitled to qualified immunity, and the dismissal of the deliberate-indifference claims was upheld.</w:t>
      </w:r>
    </w:p>
    <w:p w14:paraId="05A2D6F8" w14:textId="77777777" w:rsidR="00D43053" w:rsidRDefault="00D43053" w:rsidP="00D43053"/>
    <w:p w14:paraId="30425498" w14:textId="77777777" w:rsidR="00D43053" w:rsidRDefault="00D43053" w:rsidP="00D43053"/>
    <w:p w14:paraId="6AA58825" w14:textId="77777777" w:rsidR="00D43053" w:rsidRPr="00EA1FED" w:rsidRDefault="00D43053" w:rsidP="00D43053">
      <w:pPr>
        <w:rPr>
          <w:b/>
          <w:bCs/>
        </w:rPr>
      </w:pPr>
      <w:r w:rsidRPr="00EA1FED">
        <w:rPr>
          <w:b/>
          <w:bCs/>
        </w:rPr>
        <w:t>Lee v Harris</w:t>
      </w:r>
    </w:p>
    <w:p w14:paraId="176E7A73" w14:textId="18DE6AE6" w:rsidR="00D43053" w:rsidRDefault="00D43053" w:rsidP="00D43053">
      <w:r>
        <w:t>U.S. Court of Appeals for the Seventh Circuit</w:t>
      </w:r>
    </w:p>
    <w:p w14:paraId="045C4441" w14:textId="5779DCF0" w:rsidR="00D43053" w:rsidRDefault="00EA1FED" w:rsidP="00D43053">
      <w:r w:rsidRPr="00EA1FED">
        <w:t>January 27, 2025</w:t>
      </w:r>
    </w:p>
    <w:p w14:paraId="62B3271C" w14:textId="77777777" w:rsidR="00D43053" w:rsidRDefault="00D43053" w:rsidP="00D43053">
      <w:r>
        <w:t>Docket: 24-1053</w:t>
      </w:r>
    </w:p>
    <w:p w14:paraId="0DF0518A" w14:textId="77777777" w:rsidR="00D43053" w:rsidRDefault="00D43053" w:rsidP="00D43053"/>
    <w:p w14:paraId="71979BA9" w14:textId="30620B92" w:rsidR="00D43053" w:rsidRPr="008A3DC8" w:rsidRDefault="00EA1FED" w:rsidP="00D43053">
      <w:pPr>
        <w:rPr>
          <w:i/>
          <w:iCs/>
        </w:rPr>
      </w:pPr>
      <w:r w:rsidRPr="008A3DC8">
        <w:rPr>
          <w:i/>
          <w:iCs/>
        </w:rPr>
        <w:t xml:space="preserve">LEO LAW Topics </w:t>
      </w:r>
      <w:r w:rsidR="000B582B" w:rsidRPr="008A3DC8">
        <w:rPr>
          <w:i/>
          <w:iCs/>
        </w:rPr>
        <w:t>4-</w:t>
      </w:r>
      <w:r w:rsidR="008A3DC8" w:rsidRPr="008A3DC8">
        <w:rPr>
          <w:i/>
          <w:iCs/>
        </w:rPr>
        <w:t>5</w:t>
      </w:r>
      <w:r w:rsidRPr="008A3DC8">
        <w:rPr>
          <w:i/>
          <w:iCs/>
        </w:rPr>
        <w:t xml:space="preserve">: </w:t>
      </w:r>
      <w:r w:rsidR="000B582B" w:rsidRPr="008A3DC8">
        <w:rPr>
          <w:i/>
          <w:iCs/>
        </w:rPr>
        <w:t>P</w:t>
      </w:r>
      <w:r w:rsidRPr="008A3DC8">
        <w:rPr>
          <w:i/>
          <w:iCs/>
        </w:rPr>
        <w:t xml:space="preserve">robable cause for </w:t>
      </w:r>
      <w:r w:rsidR="008A3DC8" w:rsidRPr="008A3DC8">
        <w:rPr>
          <w:i/>
          <w:iCs/>
        </w:rPr>
        <w:t xml:space="preserve">an </w:t>
      </w:r>
      <w:r w:rsidRPr="008A3DC8">
        <w:rPr>
          <w:i/>
          <w:iCs/>
        </w:rPr>
        <w:t xml:space="preserve">arrest warrant was </w:t>
      </w:r>
      <w:r w:rsidR="008A3DC8" w:rsidRPr="008A3DC8">
        <w:rPr>
          <w:i/>
          <w:iCs/>
        </w:rPr>
        <w:t xml:space="preserve">an </w:t>
      </w:r>
      <w:r w:rsidRPr="008A3DC8">
        <w:rPr>
          <w:i/>
          <w:iCs/>
        </w:rPr>
        <w:t xml:space="preserve">absolute defense </w:t>
      </w:r>
      <w:r w:rsidR="008A3DC8" w:rsidRPr="008A3DC8">
        <w:rPr>
          <w:i/>
          <w:iCs/>
        </w:rPr>
        <w:t>against a claim for a</w:t>
      </w:r>
      <w:r w:rsidRPr="008A3DC8">
        <w:rPr>
          <w:i/>
          <w:iCs/>
        </w:rPr>
        <w:t xml:space="preserve"> defective arrest warran</w:t>
      </w:r>
      <w:r w:rsidR="008A3DC8" w:rsidRPr="008A3DC8">
        <w:rPr>
          <w:i/>
          <w:iCs/>
        </w:rPr>
        <w:t>t.</w:t>
      </w:r>
    </w:p>
    <w:p w14:paraId="603B8E37" w14:textId="77777777" w:rsidR="00D43053" w:rsidRDefault="00D43053" w:rsidP="00D43053"/>
    <w:p w14:paraId="67CBBC81" w14:textId="77777777" w:rsidR="00D43053" w:rsidRDefault="00D43053" w:rsidP="00D43053">
      <w:r>
        <w:t xml:space="preserve">In February 2018, two men invaded a home in Rockford, Illinois, resulting in the death of Julian Young, Jr. and the escape of Jasmine Meneweather. </w:t>
      </w:r>
      <w:proofErr w:type="spellStart"/>
      <w:r>
        <w:t>Meneweather</w:t>
      </w:r>
      <w:proofErr w:type="spellEnd"/>
      <w:r>
        <w:t xml:space="preserve"> initially provided general descriptions of the </w:t>
      </w:r>
      <w:r>
        <w:lastRenderedPageBreak/>
        <w:t xml:space="preserve">assailants but no specific identities. Later, she sent a photo of one perpetrator to Detective Eric Harris, but the person was not identified. Over a year later, Harris received another photo from Young’s aunt, identifying the assailants as brothers Cortez and </w:t>
      </w:r>
      <w:proofErr w:type="spellStart"/>
      <w:r>
        <w:t>Shawnqiz</w:t>
      </w:r>
      <w:proofErr w:type="spellEnd"/>
      <w:r>
        <w:t xml:space="preserve"> Lee. </w:t>
      </w:r>
      <w:proofErr w:type="spellStart"/>
      <w:r>
        <w:t>Meneweather</w:t>
      </w:r>
      <w:proofErr w:type="spellEnd"/>
      <w:r>
        <w:t xml:space="preserve"> later identified </w:t>
      </w:r>
      <w:proofErr w:type="spellStart"/>
      <w:r>
        <w:t>Shawnqiz</w:t>
      </w:r>
      <w:proofErr w:type="spellEnd"/>
      <w:r>
        <w:t xml:space="preserve"> Lee in a photo array. Despite Lee’s alibi of being at work during the crime, he was arrested in November 2019 based on a criminal complaint and a judge-issued arrest warrant. A grand jury indicted Lee, but subsequent DNA evidence did not match him. Lee was released in December 2020 after the charges were dismissed.</w:t>
      </w:r>
    </w:p>
    <w:p w14:paraId="0E0B899E" w14:textId="77777777" w:rsidR="00D43053" w:rsidRDefault="00D43053" w:rsidP="00D43053"/>
    <w:p w14:paraId="6BAB2353" w14:textId="77777777" w:rsidR="00D43053" w:rsidRDefault="00D43053" w:rsidP="00D43053">
      <w:r>
        <w:t xml:space="preserve">The United States District Court for the Northern District of Illinois granted summary judgment to the police officers, reasoning that probable cause existed based on </w:t>
      </w:r>
      <w:proofErr w:type="spellStart"/>
      <w:r>
        <w:t>Meneweather’s</w:t>
      </w:r>
      <w:proofErr w:type="spellEnd"/>
      <w:r>
        <w:t xml:space="preserve"> identification, which is an absolute defense to Lee’s claims. Lee appealed, arguing that the officers lacked probable cause and that they recklessly withheld material facts.</w:t>
      </w:r>
    </w:p>
    <w:p w14:paraId="1F771872" w14:textId="77777777" w:rsidR="00D43053" w:rsidRDefault="00D43053" w:rsidP="00D43053"/>
    <w:p w14:paraId="12F3CA93" w14:textId="48360503" w:rsidR="00D43053" w:rsidRDefault="00D43053" w:rsidP="00D43053">
      <w:r>
        <w:t xml:space="preserve">The United States Court of Appeals for the Seventh Circuit reviewed the case de novo and affirmed the district court’s decision. The court held that probable cause existed based on </w:t>
      </w:r>
      <w:proofErr w:type="spellStart"/>
      <w:r>
        <w:t>Meneweather’s</w:t>
      </w:r>
      <w:proofErr w:type="spellEnd"/>
      <w:r>
        <w:t xml:space="preserve"> identification, which was sufficient to support the arrest warrant. The court also found that the officers did not recklessly withhold material facts that would have negated probable cause. Additionally, the grand jury indictment provided prima facie evidence of probable cause, which Lee failed to rebut. </w:t>
      </w:r>
      <w:r w:rsidR="008A3DC8">
        <w:t>Accordingly</w:t>
      </w:r>
      <w:r>
        <w:t>, the court affirmed the summary judgment in favor of the police officers, concluding that probable cause was an absolute defense to Lee’s Fourth Amendment and state-law claims.</w:t>
      </w:r>
    </w:p>
    <w:p w14:paraId="2DEEC007" w14:textId="77777777" w:rsidR="00D43053" w:rsidRDefault="00D43053" w:rsidP="00D43053"/>
    <w:p w14:paraId="12F115BE" w14:textId="77777777" w:rsidR="00D43053" w:rsidRDefault="00D43053" w:rsidP="00D43053"/>
    <w:p w14:paraId="1E786161" w14:textId="77777777" w:rsidR="00D43053" w:rsidRDefault="00D43053" w:rsidP="00D43053"/>
    <w:p w14:paraId="2B5DE469" w14:textId="77777777" w:rsidR="00D43053" w:rsidRDefault="00D43053" w:rsidP="00D43053"/>
    <w:p w14:paraId="31080004" w14:textId="77777777" w:rsidR="00D43053" w:rsidRDefault="00D43053" w:rsidP="00D43053"/>
    <w:sectPr w:rsidR="00D43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0D"/>
    <w:rsid w:val="00006445"/>
    <w:rsid w:val="000312AE"/>
    <w:rsid w:val="000B582B"/>
    <w:rsid w:val="004A4C84"/>
    <w:rsid w:val="00533A48"/>
    <w:rsid w:val="0054065D"/>
    <w:rsid w:val="007B660D"/>
    <w:rsid w:val="008A3DC8"/>
    <w:rsid w:val="008E63CF"/>
    <w:rsid w:val="00A646EF"/>
    <w:rsid w:val="00B22E52"/>
    <w:rsid w:val="00C001B5"/>
    <w:rsid w:val="00D43053"/>
    <w:rsid w:val="00DE6CDB"/>
    <w:rsid w:val="00EA1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C753F"/>
  <w15:chartTrackingRefBased/>
  <w15:docId w15:val="{738A8170-6EC7-460F-BAEA-799635C0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6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6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6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6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60D"/>
    <w:rPr>
      <w:rFonts w:eastAsiaTheme="majorEastAsia" w:cstheme="majorBidi"/>
      <w:color w:val="272727" w:themeColor="text1" w:themeTint="D8"/>
    </w:rPr>
  </w:style>
  <w:style w:type="paragraph" w:styleId="Title">
    <w:name w:val="Title"/>
    <w:basedOn w:val="Normal"/>
    <w:next w:val="Normal"/>
    <w:link w:val="TitleChar"/>
    <w:uiPriority w:val="10"/>
    <w:qFormat/>
    <w:rsid w:val="007B66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6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6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660D"/>
    <w:rPr>
      <w:i/>
      <w:iCs/>
      <w:color w:val="404040" w:themeColor="text1" w:themeTint="BF"/>
    </w:rPr>
  </w:style>
  <w:style w:type="paragraph" w:styleId="ListParagraph">
    <w:name w:val="List Paragraph"/>
    <w:basedOn w:val="Normal"/>
    <w:uiPriority w:val="34"/>
    <w:qFormat/>
    <w:rsid w:val="007B660D"/>
    <w:pPr>
      <w:ind w:left="720"/>
      <w:contextualSpacing/>
    </w:pPr>
  </w:style>
  <w:style w:type="character" w:styleId="IntenseEmphasis">
    <w:name w:val="Intense Emphasis"/>
    <w:basedOn w:val="DefaultParagraphFont"/>
    <w:uiPriority w:val="21"/>
    <w:qFormat/>
    <w:rsid w:val="007B660D"/>
    <w:rPr>
      <w:i/>
      <w:iCs/>
      <w:color w:val="2F5496" w:themeColor="accent1" w:themeShade="BF"/>
    </w:rPr>
  </w:style>
  <w:style w:type="paragraph" w:styleId="IntenseQuote">
    <w:name w:val="Intense Quote"/>
    <w:basedOn w:val="Normal"/>
    <w:next w:val="Normal"/>
    <w:link w:val="IntenseQuoteChar"/>
    <w:uiPriority w:val="30"/>
    <w:qFormat/>
    <w:rsid w:val="007B6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60D"/>
    <w:rPr>
      <w:i/>
      <w:iCs/>
      <w:color w:val="2F5496" w:themeColor="accent1" w:themeShade="BF"/>
    </w:rPr>
  </w:style>
  <w:style w:type="character" w:styleId="IntenseReference">
    <w:name w:val="Intense Reference"/>
    <w:basedOn w:val="DefaultParagraphFont"/>
    <w:uiPriority w:val="32"/>
    <w:qFormat/>
    <w:rsid w:val="007B66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1148</Words>
  <Characters>6299</Characters>
  <Application>Microsoft Office Word</Application>
  <DocSecurity>0</DocSecurity>
  <Lines>119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2025-02-06T20:31:00Z</dcterms:created>
  <dcterms:modified xsi:type="dcterms:W3CDTF">2025-07-06T11:41:00Z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9178b192-9222-458c-9c5f-851639e0f5fc</vt:lpwstr>
  </property>
</Properties>
</file>