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71EE7" w14:textId="09C1526D" w:rsidR="00D41EC4" w:rsidRDefault="002A18DE" w:rsidP="00C63524">
      <w:pPr>
        <w:spacing w:after="0" w:line="240" w:lineRule="auto"/>
      </w:pPr>
      <w:r>
        <w:t>12DEC2025 Cases</w:t>
      </w:r>
    </w:p>
    <w:p w14:paraId="1DDC6945" w14:textId="77777777" w:rsidR="00C63524" w:rsidRDefault="00C63524" w:rsidP="00C63524">
      <w:pPr>
        <w:spacing w:after="0" w:line="240" w:lineRule="auto"/>
      </w:pPr>
    </w:p>
    <w:p w14:paraId="38B1A43C" w14:textId="57E483C0" w:rsidR="00C63524" w:rsidRPr="00C63524" w:rsidRDefault="00C63524" w:rsidP="00C63524">
      <w:pPr>
        <w:spacing w:after="0" w:line="240" w:lineRule="auto"/>
        <w:rPr>
          <w:b/>
          <w:bCs/>
        </w:rPr>
      </w:pPr>
      <w:r w:rsidRPr="00C63524">
        <w:rPr>
          <w:b/>
          <w:bCs/>
        </w:rPr>
        <w:t>U</w:t>
      </w:r>
      <w:r w:rsidRPr="00C63524">
        <w:rPr>
          <w:b/>
          <w:bCs/>
        </w:rPr>
        <w:t xml:space="preserve">nited </w:t>
      </w:r>
      <w:r w:rsidRPr="00C63524">
        <w:rPr>
          <w:b/>
          <w:bCs/>
        </w:rPr>
        <w:t>S</w:t>
      </w:r>
      <w:r w:rsidRPr="00C63524">
        <w:rPr>
          <w:b/>
          <w:bCs/>
        </w:rPr>
        <w:t>tates</w:t>
      </w:r>
      <w:r w:rsidRPr="00C63524">
        <w:rPr>
          <w:b/>
          <w:bCs/>
        </w:rPr>
        <w:t xml:space="preserve"> v. Hawkins</w:t>
      </w:r>
    </w:p>
    <w:p w14:paraId="31A6AAC4" w14:textId="32BE5039" w:rsidR="00C63524" w:rsidRDefault="00C63524" w:rsidP="00C63524">
      <w:pPr>
        <w:spacing w:after="0" w:line="240" w:lineRule="auto"/>
      </w:pPr>
      <w:r>
        <w:t>U.S. Court of Appeals for the Fourth Circuit</w:t>
      </w:r>
    </w:p>
    <w:p w14:paraId="16FCF76D" w14:textId="1651C08B" w:rsidR="00C63524" w:rsidRDefault="00C63524" w:rsidP="00C63524">
      <w:pPr>
        <w:spacing w:after="0" w:line="240" w:lineRule="auto"/>
      </w:pPr>
      <w:r>
        <w:t>24-4502</w:t>
      </w:r>
    </w:p>
    <w:p w14:paraId="5EB69E5F" w14:textId="1E96D545" w:rsidR="00C63524" w:rsidRDefault="00C63524" w:rsidP="00C63524">
      <w:pPr>
        <w:spacing w:after="0" w:line="240" w:lineRule="auto"/>
      </w:pPr>
      <w:r>
        <w:t>December 11, 2025</w:t>
      </w:r>
    </w:p>
    <w:p w14:paraId="1EE68592" w14:textId="77777777" w:rsidR="00C63524" w:rsidRDefault="00C63524" w:rsidP="00C63524">
      <w:pPr>
        <w:spacing w:after="0" w:line="240" w:lineRule="auto"/>
      </w:pPr>
    </w:p>
    <w:p w14:paraId="0C1D7EBC" w14:textId="2787633D" w:rsidR="00C63524" w:rsidRPr="00C63524" w:rsidRDefault="00C63524" w:rsidP="00C63524">
      <w:pPr>
        <w:spacing w:after="0" w:line="240" w:lineRule="auto"/>
        <w:rPr>
          <w:i/>
          <w:iCs/>
        </w:rPr>
      </w:pPr>
      <w:r w:rsidRPr="00C63524">
        <w:rPr>
          <w:i/>
          <w:iCs/>
        </w:rPr>
        <w:t>Summary: No reasonable suspicion existed to justify extension of traffic stop.</w:t>
      </w:r>
    </w:p>
    <w:p w14:paraId="6293B2CF" w14:textId="77777777" w:rsidR="00C63524" w:rsidRDefault="00C63524" w:rsidP="00C63524">
      <w:pPr>
        <w:spacing w:after="0" w:line="240" w:lineRule="auto"/>
      </w:pPr>
    </w:p>
    <w:p w14:paraId="573F9819" w14:textId="77777777" w:rsidR="00C63524" w:rsidRDefault="00C63524" w:rsidP="00C63524">
      <w:pPr>
        <w:spacing w:after="0" w:line="240" w:lineRule="auto"/>
      </w:pPr>
      <w:r>
        <w:t xml:space="preserve">Drug task force officers in West Virginia observed a car with expired registration, dark window tint, and a malfunctioning taillight, driven by </w:t>
      </w:r>
      <w:proofErr w:type="spellStart"/>
      <w:r>
        <w:t>Cornelious</w:t>
      </w:r>
      <w:proofErr w:type="spellEnd"/>
      <w:r>
        <w:t xml:space="preserve"> Johnson—an individual known to them from a prior drug conviction and currently on federal supervised release. The officers watched as Johnson and his passenger interacted with a man, Jackie Byrd, at an apartment complex previously associated with drug investigations. Although the officers suspected a drug transaction, they did not witness any exchange of items. Shortly after, </w:t>
      </w:r>
      <w:proofErr w:type="spellStart"/>
      <w:r>
        <w:t>Tremayne</w:t>
      </w:r>
      <w:proofErr w:type="spellEnd"/>
      <w:r>
        <w:t xml:space="preserve"> Hawkins entered the back seat, and the car left the complex. Officer Stanley, informed by the task force, stopped the car for the observed traffic violations and, suspecting drug activity, separated and questioned the occupants about their interaction with Byrd. Citing minor inconsistencies in their answers, Stanley called for a K9 unit, which alerted to drugs. A subsequent search yielded a firearm on Hawkins, who admitted to being prohibited from possessing one due to a prior conviction.</w:t>
      </w:r>
    </w:p>
    <w:p w14:paraId="3DBADC50" w14:textId="77777777" w:rsidR="00C63524" w:rsidRDefault="00C63524" w:rsidP="00C63524">
      <w:pPr>
        <w:spacing w:after="0" w:line="240" w:lineRule="auto"/>
      </w:pPr>
    </w:p>
    <w:p w14:paraId="44A2ABC0" w14:textId="77777777" w:rsidR="00C63524" w:rsidRDefault="00C63524" w:rsidP="00C63524">
      <w:pPr>
        <w:spacing w:after="0" w:line="240" w:lineRule="auto"/>
      </w:pPr>
      <w:r>
        <w:t>The United States District Court for the Northern District of West Virginia denied Hawkins’ motion to suppress the firearm, holding that the officers had reasonable suspicion to extend the stop based on the area’s reputation, Johnson’s prior conviction, the observed interaction with Byrd, and the inconsistent statements from the occupants.</w:t>
      </w:r>
    </w:p>
    <w:p w14:paraId="2FA3B18E" w14:textId="77777777" w:rsidR="00C63524" w:rsidRDefault="00C63524" w:rsidP="00C63524">
      <w:pPr>
        <w:spacing w:after="0" w:line="240" w:lineRule="auto"/>
      </w:pPr>
    </w:p>
    <w:p w14:paraId="565BF985" w14:textId="35DF4F08" w:rsidR="002A18DE" w:rsidRDefault="00C63524" w:rsidP="00C63524">
      <w:pPr>
        <w:spacing w:after="0" w:line="240" w:lineRule="auto"/>
      </w:pPr>
      <w:r>
        <w:t>The United States Court of Appeals for the Fourth Circuit reviewed the district court’s legal conclusions de novo and its factual findings for clear error. The Fourth Circuit held that none of the cited factors—alone or in combination—provided reasonable suspicion to extend the stop. The court emphasized that presence in an area associated with prior investigations, a dated conviction, innocuous interactions, and minor, reconcilable inconsistencies in statements did not collectively amount to reasonable suspicion of criminal activity. Accordingly, the Fourth Circuit reversed the district court’s denial of the suppression motion and remanded the case for further proceedings.</w:t>
      </w:r>
    </w:p>
    <w:p w14:paraId="4FC278AF" w14:textId="77777777" w:rsidR="002A18DE" w:rsidRDefault="002A18DE" w:rsidP="00C63524">
      <w:pPr>
        <w:spacing w:after="0" w:line="240" w:lineRule="auto"/>
      </w:pPr>
    </w:p>
    <w:p w14:paraId="0D8410CF" w14:textId="5B9C8111" w:rsidR="00C63524" w:rsidRDefault="00C63524" w:rsidP="00C63524">
      <w:pPr>
        <w:spacing w:after="0" w:line="240" w:lineRule="auto"/>
      </w:pPr>
      <w:hyperlink r:id="rId4" w:history="1">
        <w:r w:rsidRPr="004C78D8">
          <w:rPr>
            <w:rStyle w:val="Hyperlink"/>
          </w:rPr>
          <w:t>https://cases.justia.com/federal/appellate-courts/ca4/24-4502/24-4502-2025-12-11.pdf</w:t>
        </w:r>
      </w:hyperlink>
      <w:r>
        <w:t xml:space="preserve">  </w:t>
      </w:r>
    </w:p>
    <w:p w14:paraId="3A315D49" w14:textId="77777777" w:rsidR="00C63524" w:rsidRDefault="00C63524" w:rsidP="00C63524">
      <w:pPr>
        <w:spacing w:after="0" w:line="240" w:lineRule="auto"/>
      </w:pPr>
    </w:p>
    <w:p w14:paraId="7E939432" w14:textId="7EA94369" w:rsidR="00C63524" w:rsidRDefault="00C63524">
      <w:r>
        <w:br w:type="page"/>
      </w:r>
    </w:p>
    <w:p w14:paraId="2A5ACBB9" w14:textId="77777777" w:rsidR="00C63524" w:rsidRPr="00C63524" w:rsidRDefault="00C63524" w:rsidP="00C63524">
      <w:pPr>
        <w:spacing w:after="0" w:line="240" w:lineRule="auto"/>
        <w:rPr>
          <w:b/>
          <w:bCs/>
        </w:rPr>
      </w:pPr>
      <w:r w:rsidRPr="00C63524">
        <w:rPr>
          <w:b/>
          <w:bCs/>
        </w:rPr>
        <w:lastRenderedPageBreak/>
        <w:t>United States v. Peterson</w:t>
      </w:r>
    </w:p>
    <w:p w14:paraId="3C536D34" w14:textId="082CD823" w:rsidR="00C63524" w:rsidRDefault="00C63524" w:rsidP="00C63524">
      <w:pPr>
        <w:spacing w:after="0" w:line="240" w:lineRule="auto"/>
      </w:pPr>
      <w:r>
        <w:t>U.S. Court of Appeals for the Fifth Circuit</w:t>
      </w:r>
    </w:p>
    <w:p w14:paraId="4BA36D77" w14:textId="5A7874E4" w:rsidR="00C63524" w:rsidRDefault="00C63524" w:rsidP="00C63524">
      <w:pPr>
        <w:spacing w:after="0" w:line="240" w:lineRule="auto"/>
      </w:pPr>
      <w:r>
        <w:t>24-30043</w:t>
      </w:r>
    </w:p>
    <w:p w14:paraId="617CE643" w14:textId="2783972D" w:rsidR="00C63524" w:rsidRDefault="00C63524" w:rsidP="00C63524">
      <w:pPr>
        <w:spacing w:after="0" w:line="240" w:lineRule="auto"/>
      </w:pPr>
      <w:r>
        <w:t>December 10, 2025</w:t>
      </w:r>
    </w:p>
    <w:p w14:paraId="0F9A73FB" w14:textId="77777777" w:rsidR="00C63524" w:rsidRDefault="00C63524" w:rsidP="00C63524">
      <w:pPr>
        <w:spacing w:after="0" w:line="240" w:lineRule="auto"/>
      </w:pPr>
    </w:p>
    <w:p w14:paraId="6076EB5D" w14:textId="2F82621D" w:rsidR="00C63524" w:rsidRPr="00C63524" w:rsidRDefault="00C63524" w:rsidP="00C63524">
      <w:pPr>
        <w:spacing w:after="0" w:line="240" w:lineRule="auto"/>
        <w:rPr>
          <w:i/>
          <w:iCs/>
        </w:rPr>
      </w:pPr>
      <w:r w:rsidRPr="00C63524">
        <w:rPr>
          <w:i/>
          <w:iCs/>
        </w:rPr>
        <w:t>Summary: Good faith exception applied to officer’s reliance on a warrant.</w:t>
      </w:r>
    </w:p>
    <w:p w14:paraId="4D30391C" w14:textId="77777777" w:rsidR="00C63524" w:rsidRDefault="00C63524" w:rsidP="00C63524">
      <w:pPr>
        <w:spacing w:after="0" w:line="240" w:lineRule="auto"/>
      </w:pPr>
    </w:p>
    <w:p w14:paraId="4E0BB758" w14:textId="77777777" w:rsidR="00C63524" w:rsidRDefault="00C63524" w:rsidP="00C63524">
      <w:pPr>
        <w:spacing w:after="0" w:line="240" w:lineRule="auto"/>
      </w:pPr>
      <w:r>
        <w:t>Federal and state law enforcement officers executed a search warrant at the home and business of George Peterson, a federally licensed firearms dealer operating out of his residence in Louisiana. The warrant was supported by an affidavit detailing months of investigation by the Bureau of Alcohol, Tobacco, Firearms and Explosives (ATF), including undercover purchases where Peterson failed to report firearm sales as required and sold firearms under circumstances suggesting knowledge of illegal transactions. During the search, agents discovered a homemade, unregistered firearm suppressor in Peterson’s closet safe. The suppressor lacked a serial number and was not registered as required by the National Firearms Act (NFA).</w:t>
      </w:r>
    </w:p>
    <w:p w14:paraId="32859272" w14:textId="77777777" w:rsidR="00C63524" w:rsidRDefault="00C63524" w:rsidP="00C63524">
      <w:pPr>
        <w:spacing w:after="0" w:line="240" w:lineRule="auto"/>
      </w:pPr>
    </w:p>
    <w:p w14:paraId="494FF355" w14:textId="77777777" w:rsidR="00C63524" w:rsidRDefault="00C63524" w:rsidP="00C63524">
      <w:pPr>
        <w:spacing w:after="0" w:line="240" w:lineRule="auto"/>
      </w:pPr>
      <w:r>
        <w:t>A grand jury in the United States District Court for the Eastern District of Louisiana indicted Peterson for possession of an unregistered suppressor in violation of the NFA. Peterson moved to dismiss the indictment, arguing the NFA’s registration scheme violated his Second Amendment rights as applied to him, and also moved to suppress the evidence, claiming the search violated the Fourth Amendment. The district court denied both motions. Peterson entered a conditional guilty plea, reserving the right to appeal those rulings. He was sentenced to twenty-four months’ imprisonment.</w:t>
      </w:r>
    </w:p>
    <w:p w14:paraId="1B36EE81" w14:textId="77777777" w:rsidR="00C63524" w:rsidRDefault="00C63524" w:rsidP="00C63524">
      <w:pPr>
        <w:spacing w:after="0" w:line="240" w:lineRule="auto"/>
      </w:pPr>
    </w:p>
    <w:p w14:paraId="3E8C2016" w14:textId="2568908C" w:rsidR="00C63524" w:rsidRDefault="00C63524" w:rsidP="00C63524">
      <w:pPr>
        <w:spacing w:after="0" w:line="240" w:lineRule="auto"/>
      </w:pPr>
      <w:r>
        <w:t xml:space="preserve">On appeal, the United States Court of Appeals for the Fifth Circuit affirmed the district court’s decisions. The court held that, assuming suppressors are protected by the Second Amendment, the NFA’s “shall-issue” licensing and registration regime is presumptively constitutional under New York State Rifle &amp; Pistol Association v. </w:t>
      </w:r>
      <w:proofErr w:type="spellStart"/>
      <w:r>
        <w:t>Bruen</w:t>
      </w:r>
      <w:proofErr w:type="spellEnd"/>
      <w:r>
        <w:t xml:space="preserve"> and related precedent. Peterson failed to show that the NFA’s requirements denied him his rights or were applied abusively. Regarding the motion to suppress, the court found that the good-faith exception to the exclusionary rule applied because the officers reasonably relied on a warrant issued by a magistrate judge, even if probable cause was disputed. Thus, both denials were affirmed.</w:t>
      </w:r>
    </w:p>
    <w:p w14:paraId="272F8236" w14:textId="77777777" w:rsidR="00C63524" w:rsidRDefault="00C63524" w:rsidP="00C63524">
      <w:pPr>
        <w:spacing w:after="0" w:line="240" w:lineRule="auto"/>
      </w:pPr>
    </w:p>
    <w:p w14:paraId="5E65EB9C" w14:textId="7F1C3324" w:rsidR="00C63524" w:rsidRDefault="00C63524">
      <w:hyperlink r:id="rId5" w:history="1">
        <w:r w:rsidRPr="0031235A">
          <w:rPr>
            <w:rStyle w:val="Hyperlink"/>
          </w:rPr>
          <w:t>https://cases.justia.com/federal/appellate-courts/ca5/24-30043/24-30043-2025-12-10.pdf</w:t>
        </w:r>
      </w:hyperlink>
      <w:r>
        <w:t xml:space="preserve"> </w:t>
      </w:r>
      <w:r>
        <w:br w:type="page"/>
      </w:r>
    </w:p>
    <w:p w14:paraId="71E1AAB9" w14:textId="2157CB5E" w:rsidR="00C63524" w:rsidRPr="007A3659" w:rsidRDefault="00C63524" w:rsidP="00C63524">
      <w:pPr>
        <w:spacing w:after="0" w:line="240" w:lineRule="auto"/>
        <w:rPr>
          <w:b/>
          <w:bCs/>
        </w:rPr>
      </w:pPr>
      <w:r w:rsidRPr="007A3659">
        <w:rPr>
          <w:b/>
          <w:bCs/>
        </w:rPr>
        <w:lastRenderedPageBreak/>
        <w:t>H</w:t>
      </w:r>
      <w:r w:rsidR="007A3659" w:rsidRPr="007A3659">
        <w:rPr>
          <w:b/>
          <w:bCs/>
        </w:rPr>
        <w:t xml:space="preserve">uman Rights Defense Center, Inc. v. </w:t>
      </w:r>
      <w:proofErr w:type="spellStart"/>
      <w:r w:rsidR="007A3659" w:rsidRPr="007A3659">
        <w:rPr>
          <w:b/>
          <w:bCs/>
        </w:rPr>
        <w:t>Uttecht</w:t>
      </w:r>
      <w:proofErr w:type="spellEnd"/>
    </w:p>
    <w:p w14:paraId="5A90709F" w14:textId="49E7A802" w:rsidR="00C63524" w:rsidRDefault="00C63524" w:rsidP="00C63524">
      <w:pPr>
        <w:spacing w:after="0" w:line="240" w:lineRule="auto"/>
      </w:pPr>
      <w:r>
        <w:t>U.S. Court of Appeals for the Ninth Circuit</w:t>
      </w:r>
    </w:p>
    <w:p w14:paraId="380BA54E" w14:textId="6DF03A00" w:rsidR="00C63524" w:rsidRDefault="00C63524" w:rsidP="00C63524">
      <w:pPr>
        <w:spacing w:after="0" w:line="240" w:lineRule="auto"/>
      </w:pPr>
      <w:r>
        <w:t>24-2552</w:t>
      </w:r>
    </w:p>
    <w:p w14:paraId="4DEAADF3" w14:textId="6E232FCD" w:rsidR="00C63524" w:rsidRDefault="00C63524" w:rsidP="00C63524">
      <w:pPr>
        <w:spacing w:after="0" w:line="240" w:lineRule="auto"/>
      </w:pPr>
      <w:r>
        <w:t>December 11, 2025</w:t>
      </w:r>
    </w:p>
    <w:p w14:paraId="3F2015C6" w14:textId="77777777" w:rsidR="00C63524" w:rsidRDefault="00C63524" w:rsidP="00C63524">
      <w:pPr>
        <w:spacing w:after="0" w:line="240" w:lineRule="auto"/>
      </w:pPr>
    </w:p>
    <w:p w14:paraId="4D108951" w14:textId="4A329942" w:rsidR="00C63524" w:rsidRPr="00C63524" w:rsidRDefault="00C63524" w:rsidP="00C63524">
      <w:pPr>
        <w:spacing w:after="0" w:line="240" w:lineRule="auto"/>
        <w:rPr>
          <w:i/>
          <w:iCs/>
        </w:rPr>
      </w:pPr>
      <w:r w:rsidRPr="00C63524">
        <w:rPr>
          <w:i/>
          <w:iCs/>
        </w:rPr>
        <w:t>Summary: Jail’s policy restriction on books did not violate inmates First Amendment rights.</w:t>
      </w:r>
    </w:p>
    <w:p w14:paraId="0E70B408" w14:textId="77777777" w:rsidR="00C63524" w:rsidRDefault="00C63524" w:rsidP="00C63524">
      <w:pPr>
        <w:spacing w:after="0" w:line="240" w:lineRule="auto"/>
      </w:pPr>
    </w:p>
    <w:p w14:paraId="14B754F3" w14:textId="77777777" w:rsidR="00C63524" w:rsidRDefault="00C63524" w:rsidP="00C63524">
      <w:pPr>
        <w:spacing w:after="0" w:line="240" w:lineRule="auto"/>
      </w:pPr>
      <w:r>
        <w:t xml:space="preserve">A non-profit publisher mailed its legal resource book, The Habeas </w:t>
      </w:r>
      <w:proofErr w:type="spellStart"/>
      <w:r>
        <w:t>Citebook</w:t>
      </w:r>
      <w:proofErr w:type="spellEnd"/>
      <w:r>
        <w:t xml:space="preserve">, to prisoners at a Washington state correctional facility. In 2018, the state's Department of Corrections implemented two policies: one prohibited </w:t>
      </w:r>
      <w:proofErr w:type="gramStart"/>
      <w:r>
        <w:t>inmates</w:t>
      </w:r>
      <w:proofErr w:type="gramEnd"/>
      <w:r>
        <w:t xml:space="preserve"> from possessing case law documents unless approved, and another barred possession of legal materials containing information about other Washington state inmates. Relying on these policies, prison officials at Coyote Ridge Corrections Center rejected and delayed delivery of the book. Although the Department’s Publication Review Committee later found the book permissible, the publisher was not notified of this reversal, and delivery to prisoners was significantly delayed—sometimes by over a year.</w:t>
      </w:r>
    </w:p>
    <w:p w14:paraId="5842B10A" w14:textId="77777777" w:rsidR="00C63524" w:rsidRDefault="00C63524" w:rsidP="00C63524">
      <w:pPr>
        <w:spacing w:after="0" w:line="240" w:lineRule="auto"/>
      </w:pPr>
    </w:p>
    <w:p w14:paraId="118EA068" w14:textId="77777777" w:rsidR="00C63524" w:rsidRDefault="00C63524" w:rsidP="00C63524">
      <w:pPr>
        <w:spacing w:after="0" w:line="240" w:lineRule="auto"/>
      </w:pPr>
      <w:r>
        <w:t>The Human Rights Defense Center sued the prison superintendent and mailroom sergeant in the United States District Court for the Eastern District of Washington, alleging violations of the First and Fourteenth Amendments and seeking damages and injunctive relief. The district court initially granted summary judgment for the defendants on all claims, holding that the claims were either moot, failed on the merits, or did not establish personal liability. On appeal, the United States Court of Appeals for the Ninth Circuit reversed and remanded, finding genuine disputes of material fact and instructing the district court to reconsider standing and liability issues. On remand, the district court again granted summary judgment for the defendants and denied requests for injunctive relief.</w:t>
      </w:r>
    </w:p>
    <w:p w14:paraId="27AC6C1B" w14:textId="77777777" w:rsidR="00C63524" w:rsidRDefault="00C63524" w:rsidP="00C63524">
      <w:pPr>
        <w:spacing w:after="0" w:line="240" w:lineRule="auto"/>
      </w:pPr>
    </w:p>
    <w:p w14:paraId="0E7D4DCF" w14:textId="1CBC15BD" w:rsidR="00C63524" w:rsidRDefault="00C63524" w:rsidP="00C63524">
      <w:pPr>
        <w:spacing w:after="0" w:line="240" w:lineRule="auto"/>
      </w:pPr>
      <w:r>
        <w:t>The United States Court of Appeals for the Ninth Circuit reviewed the case and held that the defendants were entitled to qualified immunity against damages on the First and Fourteenth Amendment claims regarding the mail policies and lack of notice, as there was no clearly established precedent finding such policies unconstitutional. However, it reversed the district court’s denial of injunctive relief related to both the mail policy and notice procedures, finding that the appropriate legal standards had not been applied. The court also reversed the grant of qualified immunity on the delayed delivery claim, finding the right at issue clearly established, and remanded for further proceedings.</w:t>
      </w:r>
    </w:p>
    <w:p w14:paraId="15C75220" w14:textId="77777777" w:rsidR="00C63524" w:rsidRDefault="00C63524" w:rsidP="00C63524">
      <w:pPr>
        <w:spacing w:after="0" w:line="240" w:lineRule="auto"/>
      </w:pPr>
    </w:p>
    <w:p w14:paraId="7C9C2A95" w14:textId="415EC4E2" w:rsidR="00C63524" w:rsidRDefault="00C63524" w:rsidP="00C63524">
      <w:pPr>
        <w:spacing w:after="0" w:line="240" w:lineRule="auto"/>
      </w:pPr>
      <w:hyperlink r:id="rId6" w:history="1">
        <w:r w:rsidRPr="0031235A">
          <w:rPr>
            <w:rStyle w:val="Hyperlink"/>
          </w:rPr>
          <w:t>https://cases.justia.com/federal/appellate-courts/ca9/24-2552/24-2552-2025-12-11.pdf</w:t>
        </w:r>
      </w:hyperlink>
      <w:r>
        <w:t xml:space="preserve"> </w:t>
      </w:r>
    </w:p>
    <w:p w14:paraId="6FEDF40A" w14:textId="77777777" w:rsidR="00C63524" w:rsidRDefault="00C63524" w:rsidP="00C63524">
      <w:pPr>
        <w:spacing w:after="0" w:line="240" w:lineRule="auto"/>
      </w:pPr>
    </w:p>
    <w:p w14:paraId="3040E621" w14:textId="44C9539C" w:rsidR="00C63524" w:rsidRDefault="00C63524">
      <w:r>
        <w:br w:type="page"/>
      </w:r>
    </w:p>
    <w:p w14:paraId="2D46EC59" w14:textId="77777777" w:rsidR="007A3659" w:rsidRPr="007A3659" w:rsidRDefault="007A3659" w:rsidP="007A3659">
      <w:pPr>
        <w:spacing w:after="0" w:line="240" w:lineRule="auto"/>
        <w:rPr>
          <w:b/>
          <w:bCs/>
        </w:rPr>
      </w:pPr>
      <w:r w:rsidRPr="007A3659">
        <w:rPr>
          <w:b/>
          <w:bCs/>
        </w:rPr>
        <w:lastRenderedPageBreak/>
        <w:t>Settle v. Collier</w:t>
      </w:r>
    </w:p>
    <w:p w14:paraId="5309CC82" w14:textId="250D4041" w:rsidR="007A3659" w:rsidRDefault="007A3659" w:rsidP="007A3659">
      <w:pPr>
        <w:spacing w:after="0" w:line="240" w:lineRule="auto"/>
      </w:pPr>
      <w:r>
        <w:t>U.S. Court of Appeals for the Eleventh Circuit</w:t>
      </w:r>
    </w:p>
    <w:p w14:paraId="68A49DB6" w14:textId="1453C687" w:rsidR="007A3659" w:rsidRDefault="007A3659" w:rsidP="007A3659">
      <w:pPr>
        <w:spacing w:after="0" w:line="240" w:lineRule="auto"/>
      </w:pPr>
      <w:r>
        <w:t>24-12436</w:t>
      </w:r>
    </w:p>
    <w:p w14:paraId="44640FB3" w14:textId="05A86D32" w:rsidR="007A3659" w:rsidRDefault="007A3659" w:rsidP="007A3659">
      <w:pPr>
        <w:spacing w:after="0" w:line="240" w:lineRule="auto"/>
      </w:pPr>
      <w:r>
        <w:t>December 9, 2025</w:t>
      </w:r>
    </w:p>
    <w:p w14:paraId="4DBB105B" w14:textId="77777777" w:rsidR="007A3659" w:rsidRDefault="007A3659" w:rsidP="007A3659">
      <w:pPr>
        <w:spacing w:after="0" w:line="240" w:lineRule="auto"/>
      </w:pPr>
    </w:p>
    <w:p w14:paraId="0CFF70F8" w14:textId="0BF98852" w:rsidR="007A3659" w:rsidRPr="007A3659" w:rsidRDefault="007A3659" w:rsidP="007A3659">
      <w:pPr>
        <w:spacing w:after="0" w:line="240" w:lineRule="auto"/>
        <w:rPr>
          <w:i/>
          <w:iCs/>
        </w:rPr>
      </w:pPr>
      <w:r w:rsidRPr="007A3659">
        <w:rPr>
          <w:i/>
          <w:iCs/>
        </w:rPr>
        <w:t>Summary: Use of deadly force on a vehicle was objectively reasonable.</w:t>
      </w:r>
    </w:p>
    <w:p w14:paraId="3E9D7FA2" w14:textId="77777777" w:rsidR="007A3659" w:rsidRDefault="007A3659" w:rsidP="007A3659">
      <w:pPr>
        <w:spacing w:after="0" w:line="240" w:lineRule="auto"/>
      </w:pPr>
    </w:p>
    <w:p w14:paraId="3B3643C4" w14:textId="77777777" w:rsidR="007A3659" w:rsidRDefault="007A3659" w:rsidP="007A3659">
      <w:pPr>
        <w:spacing w:after="0" w:line="240" w:lineRule="auto"/>
      </w:pPr>
      <w:r>
        <w:t>On November 14, 2020, Officer David Collier and his partner arrived at a residence in Escambia County, Florida, to serve arrest warrants on Jacob Settle and his wife. Settle was in his truck parked closely alongside the house in a dark, debris-filled backyard. When the officers approached and identified themselves, Settle refused to exit the vehicle. After Collier threatened to break the truck’s windows, Settle started the engine and shifted the transmission into gear. Collier, believing he and his partner were in imminent danger due to his proximity to the truck, fired his gun into the vehicle, fatally wounding Settle. Settle’s estate sued Collier for excessive force under the Fourth Amendment and for battery under Florida law.</w:t>
      </w:r>
    </w:p>
    <w:p w14:paraId="2BD28ED8" w14:textId="77777777" w:rsidR="007A3659" w:rsidRDefault="007A3659" w:rsidP="007A3659">
      <w:pPr>
        <w:spacing w:after="0" w:line="240" w:lineRule="auto"/>
      </w:pPr>
    </w:p>
    <w:p w14:paraId="47BEC9BD" w14:textId="77777777" w:rsidR="007A3659" w:rsidRDefault="007A3659" w:rsidP="007A3659">
      <w:pPr>
        <w:spacing w:after="0" w:line="240" w:lineRule="auto"/>
      </w:pPr>
      <w:r>
        <w:t>The United States District Court for the Northern District of Florida considered Collier's motion for summary judgment, in which he asserted qualified immunity and state law immunity. The district court denied the motion, finding that a reasonable jury could conclude Collier violated Settle’s constitutional rights by using deadly force on a non-moving vehicle that did not pose a risk to the officers. The district court also denied state immunity for the battery claim, reasoning that a jury could find Collier acted with wanton disregard for Settle’s safety.</w:t>
      </w:r>
    </w:p>
    <w:p w14:paraId="7D4E2642" w14:textId="77777777" w:rsidR="007A3659" w:rsidRDefault="007A3659" w:rsidP="007A3659">
      <w:pPr>
        <w:spacing w:after="0" w:line="240" w:lineRule="auto"/>
      </w:pPr>
    </w:p>
    <w:p w14:paraId="7A99566B" w14:textId="3A1EA092" w:rsidR="00C63524" w:rsidRDefault="007A3659" w:rsidP="007A3659">
      <w:pPr>
        <w:spacing w:after="0" w:line="240" w:lineRule="auto"/>
      </w:pPr>
      <w:r>
        <w:t>The United States Court of Appeals for the Eleventh Circuit reviewed the district court’s decision de novo. The appellate court held that Collier was entitled to qualified immunity, concluding that his use of deadly force was objectively reasonable because Settle’s actions—starting the engine and shifting the truck into gear while resisting arrest—could reasonably be perceived as an immediate threat. The court further held that Collier was entitled to state statutory immunity from the battery claim, as his conduct met the standards for justified use of force under Florida law. The Eleventh Circuit reversed the district court’s decision and remanded with instructions to enter judgment for Collier.</w:t>
      </w:r>
    </w:p>
    <w:p w14:paraId="427CA2D2" w14:textId="77777777" w:rsidR="007A3659" w:rsidRDefault="007A3659" w:rsidP="007A3659">
      <w:pPr>
        <w:spacing w:after="0" w:line="240" w:lineRule="auto"/>
      </w:pPr>
    </w:p>
    <w:p w14:paraId="25312FA0" w14:textId="66AD334D" w:rsidR="007A3659" w:rsidRDefault="007A3659" w:rsidP="007A3659">
      <w:pPr>
        <w:spacing w:after="0" w:line="240" w:lineRule="auto"/>
      </w:pPr>
      <w:hyperlink r:id="rId7" w:history="1">
        <w:r w:rsidRPr="0031235A">
          <w:rPr>
            <w:rStyle w:val="Hyperlink"/>
          </w:rPr>
          <w:t>https://cases.justia.com/federal/appellate-courts/ca11/24-12436/24-12436-2025-12-09.pdf</w:t>
        </w:r>
      </w:hyperlink>
      <w:r>
        <w:t xml:space="preserve"> </w:t>
      </w:r>
    </w:p>
    <w:p w14:paraId="1E467DBE" w14:textId="77777777" w:rsidR="007A3659" w:rsidRDefault="007A3659" w:rsidP="007A3659">
      <w:pPr>
        <w:spacing w:after="0" w:line="240" w:lineRule="auto"/>
      </w:pPr>
    </w:p>
    <w:p w14:paraId="2932762E" w14:textId="77777777" w:rsidR="007A3659" w:rsidRDefault="007A3659" w:rsidP="007A3659">
      <w:pPr>
        <w:spacing w:after="0" w:line="240" w:lineRule="auto"/>
      </w:pPr>
    </w:p>
    <w:p w14:paraId="026CC857" w14:textId="77777777" w:rsidR="007A3659" w:rsidRDefault="007A3659" w:rsidP="007A3659">
      <w:pPr>
        <w:spacing w:after="0" w:line="240" w:lineRule="auto"/>
      </w:pPr>
    </w:p>
    <w:p w14:paraId="338E938E" w14:textId="7FBF85E0" w:rsidR="007A3659" w:rsidRDefault="007A3659">
      <w:r>
        <w:br w:type="page"/>
      </w:r>
    </w:p>
    <w:p w14:paraId="7D8FD0AA" w14:textId="77777777" w:rsidR="00031A9C" w:rsidRDefault="00031A9C" w:rsidP="00031A9C">
      <w:pPr>
        <w:spacing w:after="0" w:line="240" w:lineRule="auto"/>
      </w:pPr>
      <w:r>
        <w:lastRenderedPageBreak/>
        <w:t>State of Connecticut v. Lazaro D.</w:t>
      </w:r>
    </w:p>
    <w:p w14:paraId="1FEC9C14" w14:textId="5BA30E82" w:rsidR="00031A9C" w:rsidRDefault="00031A9C" w:rsidP="00031A9C">
      <w:pPr>
        <w:spacing w:after="0" w:line="240" w:lineRule="auto"/>
      </w:pPr>
      <w:r>
        <w:t>Connecticut Supreme Court</w:t>
      </w:r>
    </w:p>
    <w:p w14:paraId="15AE9332" w14:textId="2A2D3A81" w:rsidR="00031A9C" w:rsidRDefault="00031A9C" w:rsidP="00031A9C">
      <w:pPr>
        <w:spacing w:after="0" w:line="240" w:lineRule="auto"/>
      </w:pPr>
      <w:r>
        <w:t>December 9, 2025</w:t>
      </w:r>
    </w:p>
    <w:p w14:paraId="65519DA8" w14:textId="77777777" w:rsidR="00031A9C" w:rsidRDefault="00031A9C" w:rsidP="00031A9C">
      <w:pPr>
        <w:spacing w:after="0" w:line="240" w:lineRule="auto"/>
      </w:pPr>
    </w:p>
    <w:p w14:paraId="6C2A5463" w14:textId="3A3901C2" w:rsidR="00031A9C" w:rsidRPr="00031A9C" w:rsidRDefault="00031A9C" w:rsidP="00031A9C">
      <w:pPr>
        <w:spacing w:after="0" w:line="240" w:lineRule="auto"/>
        <w:rPr>
          <w:i/>
          <w:iCs/>
        </w:rPr>
      </w:pPr>
      <w:r w:rsidRPr="00031A9C">
        <w:rPr>
          <w:i/>
          <w:iCs/>
        </w:rPr>
        <w:t>Summary: Questioning of suspect at station was not in custody for Miranda purposes.</w:t>
      </w:r>
    </w:p>
    <w:p w14:paraId="2EF44650" w14:textId="77777777" w:rsidR="00031A9C" w:rsidRDefault="00031A9C" w:rsidP="00031A9C">
      <w:pPr>
        <w:spacing w:after="0" w:line="240" w:lineRule="auto"/>
      </w:pPr>
    </w:p>
    <w:p w14:paraId="6C3A37B6" w14:textId="77777777" w:rsidR="00031A9C" w:rsidRDefault="00031A9C" w:rsidP="00031A9C">
      <w:pPr>
        <w:spacing w:after="0" w:line="240" w:lineRule="auto"/>
      </w:pPr>
      <w:r>
        <w:t>A five-year-old child and her mother, recently arrived from the Dominican Republic, were staying with family in New Britain, Connecticut. The defendant, who was married to the mother's niece, lived in the same apartment. On New Year's Eve, the defendant sexually assaulted the child. Later that evening at a family party, the child told her mother that the defendant had kissed her, and after further questioning, disclosed more details of the assault. The next day, the mother confronted the defendant, who made incriminating admissions both in person and via text. Police interviewed the defendant at the station after he voluntarily agreed to meet and requested a Spanish-speaking detective. During the interview, which was conversational and not confrontational, the defendant confessed to inappropriate sexual conduct.</w:t>
      </w:r>
    </w:p>
    <w:p w14:paraId="10783A5B" w14:textId="77777777" w:rsidR="00031A9C" w:rsidRDefault="00031A9C" w:rsidP="00031A9C">
      <w:pPr>
        <w:spacing w:after="0" w:line="240" w:lineRule="auto"/>
      </w:pPr>
    </w:p>
    <w:p w14:paraId="6F6364A3" w14:textId="77777777" w:rsidR="00031A9C" w:rsidRDefault="00031A9C" w:rsidP="00031A9C">
      <w:pPr>
        <w:spacing w:after="0" w:line="240" w:lineRule="auto"/>
      </w:pPr>
      <w:r>
        <w:t>The Superior Court, Judicial District of New Britain, denied the defendant’s pretrial motion to suppress his statements to police, finding he was not in custody for Miranda purposes. At trial, the court admitted the child’s statements to her mother under the spontaneous utterance exception to hearsay, and limited the testimony of the defense expert regarding the U visa program, which provides immigration benefits to victims of certain crimes who cooperate with law enforcement. The jury convicted the defendant of sexual assault in the first degree and risk of injury to a child.</w:t>
      </w:r>
    </w:p>
    <w:p w14:paraId="5318A82A" w14:textId="77777777" w:rsidR="00031A9C" w:rsidRDefault="00031A9C" w:rsidP="00031A9C">
      <w:pPr>
        <w:spacing w:after="0" w:line="240" w:lineRule="auto"/>
      </w:pPr>
    </w:p>
    <w:p w14:paraId="717FD3AA" w14:textId="73F84346" w:rsidR="007A3659" w:rsidRDefault="00031A9C" w:rsidP="00031A9C">
      <w:pPr>
        <w:spacing w:after="0" w:line="240" w:lineRule="auto"/>
      </w:pPr>
      <w:r>
        <w:t>On direct appeal to the Connecticut Supreme Court, the defendant argued the trial court erred in denying his suppression motion, admitting the victim’s hearsay statements, and restricting expert testimony, and further sought review of confidential personnel records of one detective. The Connecticut Supreme Court held that the trial court properly denied the suppression motion, as the defendant was not in custody. The admission of the child’s statements was error but harmless, given other strong evidence. The limitations on the expert’s testimony did not deny due process or affect the verdict. Review of the confidential records revealed no material requiring disclosure. The conviction was affirmed.</w:t>
      </w:r>
    </w:p>
    <w:p w14:paraId="014CB964" w14:textId="77777777" w:rsidR="007A3659" w:rsidRDefault="007A3659" w:rsidP="007A3659">
      <w:pPr>
        <w:spacing w:after="0" w:line="240" w:lineRule="auto"/>
      </w:pPr>
    </w:p>
    <w:p w14:paraId="3C39ACDA" w14:textId="6D65D443" w:rsidR="00031A9C" w:rsidRDefault="00031A9C" w:rsidP="007A3659">
      <w:pPr>
        <w:spacing w:after="0" w:line="240" w:lineRule="auto"/>
      </w:pPr>
      <w:hyperlink r:id="rId8" w:history="1">
        <w:r w:rsidRPr="0031235A">
          <w:rPr>
            <w:rStyle w:val="Hyperlink"/>
          </w:rPr>
          <w:t>https://cases.justia.com/connecticut/supreme-court/2025-sc20951.pdf</w:t>
        </w:r>
      </w:hyperlink>
      <w:r>
        <w:t xml:space="preserve"> </w:t>
      </w:r>
    </w:p>
    <w:p w14:paraId="178BABC4" w14:textId="77777777" w:rsidR="00031A9C" w:rsidRDefault="00031A9C" w:rsidP="007A3659">
      <w:pPr>
        <w:spacing w:after="0" w:line="240" w:lineRule="auto"/>
      </w:pPr>
    </w:p>
    <w:p w14:paraId="665179E6" w14:textId="5EBE5F45" w:rsidR="00031A9C" w:rsidRDefault="00031A9C">
      <w:r>
        <w:br w:type="page"/>
      </w:r>
    </w:p>
    <w:p w14:paraId="486FA3C9" w14:textId="77777777" w:rsidR="00031A9C" w:rsidRPr="00031A9C" w:rsidRDefault="00031A9C" w:rsidP="00031A9C">
      <w:pPr>
        <w:spacing w:after="0" w:line="240" w:lineRule="auto"/>
        <w:rPr>
          <w:b/>
          <w:bCs/>
        </w:rPr>
      </w:pPr>
      <w:r w:rsidRPr="00031A9C">
        <w:rPr>
          <w:b/>
          <w:bCs/>
        </w:rPr>
        <w:lastRenderedPageBreak/>
        <w:t>State v. Horn</w:t>
      </w:r>
    </w:p>
    <w:p w14:paraId="45695C22" w14:textId="6E335F5F" w:rsidR="00031A9C" w:rsidRDefault="00031A9C" w:rsidP="00031A9C">
      <w:pPr>
        <w:spacing w:after="0" w:line="240" w:lineRule="auto"/>
      </w:pPr>
      <w:r>
        <w:t>Idaho Supreme Court - Criminal</w:t>
      </w:r>
    </w:p>
    <w:p w14:paraId="0A54BD66" w14:textId="3BB4DB3D" w:rsidR="00031A9C" w:rsidRDefault="00031A9C" w:rsidP="00031A9C">
      <w:pPr>
        <w:spacing w:after="0" w:line="240" w:lineRule="auto"/>
      </w:pPr>
      <w:r>
        <w:t>December 9, 2025</w:t>
      </w:r>
    </w:p>
    <w:p w14:paraId="6FF2B2DD" w14:textId="77777777" w:rsidR="00031A9C" w:rsidRDefault="00031A9C" w:rsidP="00031A9C">
      <w:pPr>
        <w:spacing w:after="0" w:line="240" w:lineRule="auto"/>
      </w:pPr>
    </w:p>
    <w:p w14:paraId="31647B5A" w14:textId="11041668" w:rsidR="00031A9C" w:rsidRPr="00031A9C" w:rsidRDefault="00031A9C" w:rsidP="00031A9C">
      <w:pPr>
        <w:spacing w:after="0" w:line="240" w:lineRule="auto"/>
        <w:rPr>
          <w:i/>
          <w:iCs/>
        </w:rPr>
      </w:pPr>
      <w:r w:rsidRPr="00031A9C">
        <w:rPr>
          <w:i/>
          <w:iCs/>
        </w:rPr>
        <w:t xml:space="preserve">Summary: Randolph Rule of joint consent revocation does not apply to parole searches. </w:t>
      </w:r>
    </w:p>
    <w:p w14:paraId="76DCEA68" w14:textId="77777777" w:rsidR="00031A9C" w:rsidRDefault="00031A9C" w:rsidP="00031A9C">
      <w:pPr>
        <w:spacing w:after="0" w:line="240" w:lineRule="auto"/>
      </w:pPr>
    </w:p>
    <w:p w14:paraId="14199943" w14:textId="77777777" w:rsidR="00031A9C" w:rsidRDefault="00031A9C" w:rsidP="00031A9C">
      <w:pPr>
        <w:spacing w:after="0" w:line="240" w:lineRule="auto"/>
      </w:pPr>
      <w:r>
        <w:t xml:space="preserve">A woman was convicted of possessing methamphetamine and drug paraphernalia after police discovered these items during a search of a </w:t>
      </w:r>
      <w:proofErr w:type="gramStart"/>
      <w:r>
        <w:t>residence</w:t>
      </w:r>
      <w:proofErr w:type="gramEnd"/>
      <w:r>
        <w:t xml:space="preserve"> she shared with another individual who was on probation. The search was initiated when a probation officer visited to verify the housemate's residence. The woman answered the door, attempted to refuse entry by shutting the door, but the officer entered regardless and proceeded to search the shared bedroom after both occupants indicated there might be contraband present. The officer found drugs and paraphernalia in the room, and both individuals were charged.</w:t>
      </w:r>
    </w:p>
    <w:p w14:paraId="35194E05" w14:textId="77777777" w:rsidR="00031A9C" w:rsidRDefault="00031A9C" w:rsidP="00031A9C">
      <w:pPr>
        <w:spacing w:after="0" w:line="240" w:lineRule="auto"/>
      </w:pPr>
    </w:p>
    <w:p w14:paraId="26D2F5E0" w14:textId="77777777" w:rsidR="00031A9C" w:rsidRDefault="00031A9C" w:rsidP="00031A9C">
      <w:pPr>
        <w:spacing w:after="0" w:line="240" w:lineRule="auto"/>
      </w:pPr>
      <w:r>
        <w:t>Previously, the District Court of the Fourth Judicial District, Ada County, denied the woman's motion to suppress the evidence, rejecting her argument that the search was unlawful under Georgia v. Randolph because she had expressly objected to the entry. The district court also admitted a police body camera video at trial, which included statements from her housemate that allegedly violated her Sixth Amendment confrontation rights under Bruton v. United States. The case proceeded to a joint jury trial, resulting in guilty verdicts for both defendants.</w:t>
      </w:r>
    </w:p>
    <w:p w14:paraId="062F66F9" w14:textId="77777777" w:rsidR="00031A9C" w:rsidRDefault="00031A9C" w:rsidP="00031A9C">
      <w:pPr>
        <w:spacing w:after="0" w:line="240" w:lineRule="auto"/>
      </w:pPr>
    </w:p>
    <w:p w14:paraId="4859B76D" w14:textId="638E14B4" w:rsidR="00031A9C" w:rsidRDefault="00031A9C" w:rsidP="00031A9C">
      <w:pPr>
        <w:spacing w:after="0" w:line="240" w:lineRule="auto"/>
      </w:pPr>
      <w:r>
        <w:t>The Supreme Court of the State of Idaho reviewed the case. It held that the search was lawful because the probationer's waiver of Fourth Amendment rights as a condition of probation allowed officers to enter and search shared areas, even over the objection of a co-occupant. The Court declined to extend the Randolph rule to probation searches, reasoning that co-tenants of probationers have a reduced expectation of privacy. Regarding the confrontation issue, the Court found that admitting the body camera footage was error under Bruton, but determined the error was harmless due to overwhelming independent evidence of guilt. The Court affirmed the district court’s judgment of conviction.</w:t>
      </w:r>
    </w:p>
    <w:p w14:paraId="0258C012" w14:textId="77777777" w:rsidR="00031A9C" w:rsidRDefault="00031A9C" w:rsidP="00031A9C">
      <w:pPr>
        <w:spacing w:after="0" w:line="240" w:lineRule="auto"/>
      </w:pPr>
    </w:p>
    <w:p w14:paraId="5740AD3A" w14:textId="11D8B7BC" w:rsidR="00031A9C" w:rsidRDefault="00031A9C" w:rsidP="00031A9C">
      <w:pPr>
        <w:spacing w:after="0" w:line="240" w:lineRule="auto"/>
      </w:pPr>
      <w:hyperlink r:id="rId9" w:history="1">
        <w:r w:rsidRPr="0031235A">
          <w:rPr>
            <w:rStyle w:val="Hyperlink"/>
          </w:rPr>
          <w:t>https://cases.justia.com/idaho/supreme-court-criminal/2025-50788.pdf</w:t>
        </w:r>
      </w:hyperlink>
      <w:r>
        <w:t xml:space="preserve"> </w:t>
      </w:r>
    </w:p>
    <w:p w14:paraId="14F5D464" w14:textId="77777777" w:rsidR="00031A9C" w:rsidRDefault="00031A9C" w:rsidP="00031A9C">
      <w:pPr>
        <w:spacing w:after="0" w:line="240" w:lineRule="auto"/>
      </w:pPr>
    </w:p>
    <w:p w14:paraId="2E8519F7" w14:textId="4341F3B2" w:rsidR="00031A9C" w:rsidRDefault="00031A9C">
      <w:r>
        <w:br w:type="page"/>
      </w:r>
    </w:p>
    <w:p w14:paraId="1F4828D5" w14:textId="77777777" w:rsidR="00031A9C" w:rsidRDefault="00031A9C" w:rsidP="00031A9C">
      <w:pPr>
        <w:spacing w:after="0" w:line="240" w:lineRule="auto"/>
      </w:pPr>
    </w:p>
    <w:p w14:paraId="2E534307" w14:textId="77777777" w:rsidR="00031A9C" w:rsidRPr="00031A9C" w:rsidRDefault="00031A9C" w:rsidP="00031A9C">
      <w:pPr>
        <w:spacing w:after="0" w:line="240" w:lineRule="auto"/>
        <w:rPr>
          <w:b/>
          <w:bCs/>
        </w:rPr>
      </w:pPr>
      <w:r w:rsidRPr="00031A9C">
        <w:rPr>
          <w:b/>
          <w:bCs/>
        </w:rPr>
        <w:t>Otero v. Kane</w:t>
      </w:r>
    </w:p>
    <w:p w14:paraId="549E44B6" w14:textId="273A4AFB" w:rsidR="00031A9C" w:rsidRDefault="00031A9C" w:rsidP="00031A9C">
      <w:pPr>
        <w:spacing w:after="0" w:line="240" w:lineRule="auto"/>
      </w:pPr>
      <w:r>
        <w:t>U.S. Court of Appeals for the Third Circuit</w:t>
      </w:r>
    </w:p>
    <w:p w14:paraId="73F5773B" w14:textId="4528F16C" w:rsidR="00031A9C" w:rsidRDefault="00031A9C" w:rsidP="00031A9C">
      <w:pPr>
        <w:spacing w:after="0" w:line="240" w:lineRule="auto"/>
      </w:pPr>
      <w:r>
        <w:t>24-2907</w:t>
      </w:r>
    </w:p>
    <w:p w14:paraId="3BC4FDDC" w14:textId="7F4270EE" w:rsidR="00031A9C" w:rsidRDefault="00031A9C" w:rsidP="00031A9C">
      <w:pPr>
        <w:spacing w:after="0" w:line="240" w:lineRule="auto"/>
      </w:pPr>
      <w:r>
        <w:t>December 5, 2025</w:t>
      </w:r>
    </w:p>
    <w:p w14:paraId="0F4BAD34" w14:textId="77777777" w:rsidR="00031A9C" w:rsidRDefault="00031A9C" w:rsidP="00031A9C">
      <w:pPr>
        <w:spacing w:after="0" w:line="240" w:lineRule="auto"/>
      </w:pPr>
    </w:p>
    <w:p w14:paraId="0A5484B6" w14:textId="636B106F" w:rsidR="00031A9C" w:rsidRPr="003D43E6" w:rsidRDefault="00031A9C" w:rsidP="00031A9C">
      <w:pPr>
        <w:spacing w:after="0" w:line="240" w:lineRule="auto"/>
        <w:rPr>
          <w:i/>
          <w:iCs/>
        </w:rPr>
      </w:pPr>
      <w:r w:rsidRPr="003D43E6">
        <w:rPr>
          <w:i/>
          <w:iCs/>
        </w:rPr>
        <w:t xml:space="preserve">Summary: Officers not liable for </w:t>
      </w:r>
      <w:r w:rsidR="003D43E6" w:rsidRPr="003D43E6">
        <w:rPr>
          <w:i/>
          <w:iCs/>
        </w:rPr>
        <w:t>bystanders in high</w:t>
      </w:r>
      <w:r w:rsidR="003D43E6">
        <w:rPr>
          <w:i/>
          <w:iCs/>
        </w:rPr>
        <w:t>-</w:t>
      </w:r>
      <w:r w:rsidR="003D43E6" w:rsidRPr="003D43E6">
        <w:rPr>
          <w:i/>
          <w:iCs/>
        </w:rPr>
        <w:t>speed chase without intent to harm.</w:t>
      </w:r>
    </w:p>
    <w:p w14:paraId="6773F72F" w14:textId="77777777" w:rsidR="00031A9C" w:rsidRDefault="00031A9C" w:rsidP="00031A9C">
      <w:pPr>
        <w:spacing w:after="0" w:line="240" w:lineRule="auto"/>
      </w:pPr>
    </w:p>
    <w:p w14:paraId="66DEA156" w14:textId="77777777" w:rsidR="00031A9C" w:rsidRDefault="00031A9C" w:rsidP="00031A9C">
      <w:pPr>
        <w:spacing w:after="0" w:line="240" w:lineRule="auto"/>
      </w:pPr>
      <w:r>
        <w:t>Two Philadelphia police officers responded to reports of drug dealing and observed what they believed to be a drug transaction. When the suspected dealer, Tahir Ellison, saw the officers, he fled in his SUV. The officers pursued Ellison, initially at normal speeds, but the chase escalated when Ellison ran a red light, drove the wrong way down a one-way street, and sped up significantly. The officers followed, also running red lights and reaching high speeds. The chase lasted less than a minute and ended when Ellison crashed into another car, killing an uninvolved bystander, Virgen Martinez. Ellison later pleaded guilty to criminal charges relating to the incident.</w:t>
      </w:r>
    </w:p>
    <w:p w14:paraId="05E0433A" w14:textId="77777777" w:rsidR="00031A9C" w:rsidRDefault="00031A9C" w:rsidP="00031A9C">
      <w:pPr>
        <w:spacing w:after="0" w:line="240" w:lineRule="auto"/>
      </w:pPr>
    </w:p>
    <w:p w14:paraId="077FB987" w14:textId="77777777" w:rsidR="00031A9C" w:rsidRDefault="00031A9C" w:rsidP="00031A9C">
      <w:pPr>
        <w:spacing w:after="0" w:line="240" w:lineRule="auto"/>
      </w:pPr>
      <w:r>
        <w:t>After the incident, Joshua Otero, as administrator of Martinez’s estate, filed a lawsuit in the United States District Court for the Eastern District of Pennsylvania. The suit alleged that the officers, by engaging in a high-speed chase in a densely populated area, violated Martinez’s Fourteenth Amendment rights under 42 U.S.C. § 1983. The officers moved for partial summary judgment based on the absence of intent to harm and on qualified immunity. The magistrate judge found no evidence of intent to harm but denied summary judgment on both the constitutional and qualified immunity arguments, certifying the case for interlocutory appeal.</w:t>
      </w:r>
    </w:p>
    <w:p w14:paraId="49FD1F06" w14:textId="77777777" w:rsidR="00031A9C" w:rsidRDefault="00031A9C" w:rsidP="00031A9C">
      <w:pPr>
        <w:spacing w:after="0" w:line="240" w:lineRule="auto"/>
      </w:pPr>
    </w:p>
    <w:p w14:paraId="542EBAC5" w14:textId="0E9BFEC0" w:rsidR="00031A9C" w:rsidRDefault="00031A9C" w:rsidP="00031A9C">
      <w:pPr>
        <w:spacing w:after="0" w:line="240" w:lineRule="auto"/>
      </w:pPr>
      <w:r>
        <w:t>The United States Court of Appeals for the Third Circuit reviewed the case de novo. It held that police officers engaged in a high-speed chase are constitutionally liable for injuries to bystanders only if they acted with intent to harm. Because the officers did not intend to harm anyone, they could not be liable under the Fourteenth Amendment. The court also held that qualified immunity applied, as no clearly established law prohibited the officers’ conduct under these circumstances. The Third Circuit reversed the district court and instructed it to enter partial summary judgment for the officers.</w:t>
      </w:r>
    </w:p>
    <w:p w14:paraId="626392A6" w14:textId="77777777" w:rsidR="003D43E6" w:rsidRDefault="003D43E6" w:rsidP="00031A9C">
      <w:pPr>
        <w:spacing w:after="0" w:line="240" w:lineRule="auto"/>
      </w:pPr>
    </w:p>
    <w:p w14:paraId="43744470" w14:textId="5326671E" w:rsidR="003D43E6" w:rsidRDefault="003D43E6" w:rsidP="00031A9C">
      <w:pPr>
        <w:spacing w:after="0" w:line="240" w:lineRule="auto"/>
      </w:pPr>
      <w:hyperlink r:id="rId10" w:history="1">
        <w:r w:rsidRPr="0031235A">
          <w:rPr>
            <w:rStyle w:val="Hyperlink"/>
          </w:rPr>
          <w:t>https://cases.justia.com/federal/appellate-courts/ca3/24-2907/24-2907-2025-12-05.pdf</w:t>
        </w:r>
      </w:hyperlink>
      <w:r>
        <w:t xml:space="preserve"> </w:t>
      </w:r>
    </w:p>
    <w:p w14:paraId="7FFCF839" w14:textId="77777777" w:rsidR="003D43E6" w:rsidRDefault="003D43E6" w:rsidP="00031A9C">
      <w:pPr>
        <w:spacing w:after="0" w:line="240" w:lineRule="auto"/>
      </w:pPr>
    </w:p>
    <w:p w14:paraId="6F915229" w14:textId="3509D027" w:rsidR="003D43E6" w:rsidRDefault="003D43E6">
      <w:r>
        <w:br w:type="page"/>
      </w:r>
    </w:p>
    <w:p w14:paraId="3580EFE5" w14:textId="77777777" w:rsidR="003D43E6" w:rsidRPr="003D43E6" w:rsidRDefault="003D43E6" w:rsidP="003D43E6">
      <w:pPr>
        <w:spacing w:after="0" w:line="240" w:lineRule="auto"/>
        <w:rPr>
          <w:b/>
          <w:bCs/>
        </w:rPr>
      </w:pPr>
      <w:r w:rsidRPr="003D43E6">
        <w:rPr>
          <w:b/>
          <w:bCs/>
        </w:rPr>
        <w:lastRenderedPageBreak/>
        <w:t>Ismael v. Roundtree</w:t>
      </w:r>
    </w:p>
    <w:p w14:paraId="7DF0F9B5" w14:textId="09148898" w:rsidR="003D43E6" w:rsidRDefault="003D43E6" w:rsidP="003D43E6">
      <w:pPr>
        <w:spacing w:after="0" w:line="240" w:lineRule="auto"/>
      </w:pPr>
      <w:r>
        <w:t>U.S. Court of Appeals for the Eleventh Circuit</w:t>
      </w:r>
    </w:p>
    <w:p w14:paraId="7BDACA08" w14:textId="2C006565" w:rsidR="003D43E6" w:rsidRDefault="003D43E6" w:rsidP="003D43E6">
      <w:pPr>
        <w:spacing w:after="0" w:line="240" w:lineRule="auto"/>
      </w:pPr>
      <w:r>
        <w:t>2</w:t>
      </w:r>
      <w:r>
        <w:t>5-10604</w:t>
      </w:r>
    </w:p>
    <w:p w14:paraId="031B6E83" w14:textId="7EA0C047" w:rsidR="003D43E6" w:rsidRDefault="003D43E6" w:rsidP="003D43E6">
      <w:pPr>
        <w:spacing w:after="0" w:line="240" w:lineRule="auto"/>
      </w:pPr>
      <w:r>
        <w:t>December 5, 2025</w:t>
      </w:r>
    </w:p>
    <w:p w14:paraId="4E6B44B2" w14:textId="77777777" w:rsidR="003D43E6" w:rsidRDefault="003D43E6" w:rsidP="003D43E6">
      <w:pPr>
        <w:spacing w:after="0" w:line="240" w:lineRule="auto"/>
      </w:pPr>
    </w:p>
    <w:p w14:paraId="4709D1FE" w14:textId="3078FB25" w:rsidR="003D43E6" w:rsidRPr="003D43E6" w:rsidRDefault="003D43E6" w:rsidP="003D43E6">
      <w:pPr>
        <w:spacing w:after="0" w:line="240" w:lineRule="auto"/>
        <w:rPr>
          <w:i/>
          <w:iCs/>
        </w:rPr>
      </w:pPr>
      <w:r w:rsidRPr="003D43E6">
        <w:rPr>
          <w:i/>
          <w:iCs/>
        </w:rPr>
        <w:t>Summary: P</w:t>
      </w:r>
      <w:r w:rsidRPr="003D43E6">
        <w:rPr>
          <w:i/>
          <w:iCs/>
        </w:rPr>
        <w:t>laintiff</w:t>
      </w:r>
      <w:r w:rsidRPr="003D43E6">
        <w:rPr>
          <w:i/>
          <w:iCs/>
        </w:rPr>
        <w:t>’s claim for retaliatory discharge</w:t>
      </w:r>
      <w:r w:rsidRPr="003D43E6">
        <w:rPr>
          <w:i/>
          <w:iCs/>
        </w:rPr>
        <w:t xml:space="preserve"> may survive summary judgment by presenting circumstantial evidence that creates a triable issue regarding retaliatory intent, even if pretext is not conclusively shown</w:t>
      </w:r>
      <w:r>
        <w:rPr>
          <w:i/>
          <w:iCs/>
        </w:rPr>
        <w:t>.</w:t>
      </w:r>
    </w:p>
    <w:p w14:paraId="5EC9E8A5" w14:textId="77777777" w:rsidR="003D43E6" w:rsidRDefault="003D43E6" w:rsidP="003D43E6">
      <w:pPr>
        <w:spacing w:after="0" w:line="240" w:lineRule="auto"/>
      </w:pPr>
    </w:p>
    <w:p w14:paraId="02EEE6F3" w14:textId="77777777" w:rsidR="003D43E6" w:rsidRDefault="003D43E6" w:rsidP="003D43E6">
      <w:pPr>
        <w:spacing w:after="0" w:line="240" w:lineRule="auto"/>
      </w:pPr>
      <w:r>
        <w:t>A deputy sheriff of Arabic descent, employed by the Richmond County Sheriff’s Office, was assigned to an off-duty security position at a local business. During his assignment, he alleged that his supervisor subjected him to repeated racial harassment, including derogatory remarks about his ethnicity. Witnesses at the business supported these allegations, noting that the supervisor frequently made such comments. The deputy was also interested in joining the SWAT team, which the supervisor led, but after failing the SWAT entrance exam, the deputy filed a formal internal complaint about the harassment.</w:t>
      </w:r>
    </w:p>
    <w:p w14:paraId="221EA610" w14:textId="77777777" w:rsidR="003D43E6" w:rsidRDefault="003D43E6" w:rsidP="003D43E6">
      <w:pPr>
        <w:spacing w:after="0" w:line="240" w:lineRule="auto"/>
      </w:pPr>
    </w:p>
    <w:p w14:paraId="0CD5669F" w14:textId="77777777" w:rsidR="003D43E6" w:rsidRDefault="003D43E6" w:rsidP="003D43E6">
      <w:pPr>
        <w:spacing w:after="0" w:line="240" w:lineRule="auto"/>
      </w:pPr>
      <w:r>
        <w:t>Shortly thereafter, the deputy was investigated and ultimately terminated for allegedly violating departmental policy by making personal use of his patrol vehicle, specifically for visiting another county’s sheriff’s office to inquire about job opportunities. The deputy provided evidence that other officers regularly made similar personal use of patrol vehicles without being disciplined, and argued that his termination was in retaliation for his internal complaint. He filed suit under 42 U.S.C. § 1981, claiming retaliatory discharge.</w:t>
      </w:r>
    </w:p>
    <w:p w14:paraId="71CE8BB8" w14:textId="77777777" w:rsidR="003D43E6" w:rsidRDefault="003D43E6" w:rsidP="003D43E6">
      <w:pPr>
        <w:spacing w:after="0" w:line="240" w:lineRule="auto"/>
      </w:pPr>
    </w:p>
    <w:p w14:paraId="1BD30742" w14:textId="77777777" w:rsidR="003D43E6" w:rsidRDefault="003D43E6" w:rsidP="003D43E6">
      <w:pPr>
        <w:spacing w:after="0" w:line="240" w:lineRule="auto"/>
      </w:pPr>
      <w:r>
        <w:t>The United States District Court for the Southern District of Georgia granted summary judgment for the defendants, finding that the deputy had not shown that the employer’s stated reason for termination was a pretext for retaliation.</w:t>
      </w:r>
    </w:p>
    <w:p w14:paraId="09CA3ABC" w14:textId="77777777" w:rsidR="003D43E6" w:rsidRDefault="003D43E6" w:rsidP="003D43E6">
      <w:pPr>
        <w:spacing w:after="0" w:line="240" w:lineRule="auto"/>
      </w:pPr>
    </w:p>
    <w:p w14:paraId="54833950" w14:textId="2E3BE3EA" w:rsidR="003D43E6" w:rsidRDefault="003D43E6" w:rsidP="003D43E6">
      <w:pPr>
        <w:spacing w:after="0" w:line="240" w:lineRule="auto"/>
      </w:pPr>
      <w:r>
        <w:t>On appeal, the United States Court of Appeals for the Eleventh Circuit concluded that the District Court erred by conflating the McDonnell Douglas pretext analysis with the “convincing mosaic” standard. The Eleventh Circuit held that a plaintiff may survive summary judgment by presenting circumstantial evidence that creates a triable issue regarding retaliatory intent, even if pretext is not conclusively shown. The court reversed and remanded for the District Court to apply the correct summary judgment standard.</w:t>
      </w:r>
    </w:p>
    <w:p w14:paraId="51B15896" w14:textId="77777777" w:rsidR="003D43E6" w:rsidRDefault="003D43E6" w:rsidP="003D43E6">
      <w:pPr>
        <w:spacing w:after="0" w:line="240" w:lineRule="auto"/>
      </w:pPr>
    </w:p>
    <w:p w14:paraId="6F74EC5C" w14:textId="7868CB4C" w:rsidR="003D43E6" w:rsidRDefault="003D43E6" w:rsidP="003D43E6">
      <w:pPr>
        <w:spacing w:after="0" w:line="240" w:lineRule="auto"/>
      </w:pPr>
      <w:hyperlink r:id="rId11" w:history="1">
        <w:r w:rsidRPr="0031235A">
          <w:rPr>
            <w:rStyle w:val="Hyperlink"/>
          </w:rPr>
          <w:t>https://cases.justia.com/federal/appellate-courts/ca11/25-10604/25-10604-2025-12-05.pdf</w:t>
        </w:r>
      </w:hyperlink>
      <w:r>
        <w:t xml:space="preserve"> </w:t>
      </w:r>
    </w:p>
    <w:p w14:paraId="6ECAC83D" w14:textId="77777777" w:rsidR="003D43E6" w:rsidRDefault="003D43E6" w:rsidP="003D43E6">
      <w:pPr>
        <w:spacing w:after="0" w:line="240" w:lineRule="auto"/>
      </w:pPr>
    </w:p>
    <w:p w14:paraId="461D4553" w14:textId="09A2D98E" w:rsidR="003D43E6" w:rsidRDefault="003D43E6" w:rsidP="006A4CAF"/>
    <w:sectPr w:rsidR="003D43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8DE"/>
    <w:rsid w:val="00031A9C"/>
    <w:rsid w:val="002A18DE"/>
    <w:rsid w:val="003D43E6"/>
    <w:rsid w:val="004E3816"/>
    <w:rsid w:val="00570746"/>
    <w:rsid w:val="005E1375"/>
    <w:rsid w:val="006A4CAF"/>
    <w:rsid w:val="007A3659"/>
    <w:rsid w:val="00C63524"/>
    <w:rsid w:val="00D41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0B801"/>
  <w15:chartTrackingRefBased/>
  <w15:docId w15:val="{F1E059E8-01C3-499C-B0A5-64C078195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8DE"/>
    <w:rPr>
      <w:rFonts w:eastAsiaTheme="majorEastAsia" w:cstheme="majorBidi"/>
      <w:color w:val="272727" w:themeColor="text1" w:themeTint="D8"/>
    </w:rPr>
  </w:style>
  <w:style w:type="paragraph" w:styleId="Title">
    <w:name w:val="Title"/>
    <w:basedOn w:val="Normal"/>
    <w:next w:val="Normal"/>
    <w:link w:val="TitleChar"/>
    <w:uiPriority w:val="10"/>
    <w:qFormat/>
    <w:rsid w:val="002A1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8DE"/>
    <w:pPr>
      <w:spacing w:before="160"/>
      <w:jc w:val="center"/>
    </w:pPr>
    <w:rPr>
      <w:i/>
      <w:iCs/>
      <w:color w:val="404040" w:themeColor="text1" w:themeTint="BF"/>
    </w:rPr>
  </w:style>
  <w:style w:type="character" w:customStyle="1" w:styleId="QuoteChar">
    <w:name w:val="Quote Char"/>
    <w:basedOn w:val="DefaultParagraphFont"/>
    <w:link w:val="Quote"/>
    <w:uiPriority w:val="29"/>
    <w:rsid w:val="002A18DE"/>
    <w:rPr>
      <w:i/>
      <w:iCs/>
      <w:color w:val="404040" w:themeColor="text1" w:themeTint="BF"/>
    </w:rPr>
  </w:style>
  <w:style w:type="paragraph" w:styleId="ListParagraph">
    <w:name w:val="List Paragraph"/>
    <w:basedOn w:val="Normal"/>
    <w:uiPriority w:val="34"/>
    <w:qFormat/>
    <w:rsid w:val="002A18DE"/>
    <w:pPr>
      <w:ind w:left="720"/>
      <w:contextualSpacing/>
    </w:pPr>
  </w:style>
  <w:style w:type="character" w:styleId="IntenseEmphasis">
    <w:name w:val="Intense Emphasis"/>
    <w:basedOn w:val="DefaultParagraphFont"/>
    <w:uiPriority w:val="21"/>
    <w:qFormat/>
    <w:rsid w:val="002A18DE"/>
    <w:rPr>
      <w:i/>
      <w:iCs/>
      <w:color w:val="0F4761" w:themeColor="accent1" w:themeShade="BF"/>
    </w:rPr>
  </w:style>
  <w:style w:type="paragraph" w:styleId="IntenseQuote">
    <w:name w:val="Intense Quote"/>
    <w:basedOn w:val="Normal"/>
    <w:next w:val="Normal"/>
    <w:link w:val="IntenseQuoteChar"/>
    <w:uiPriority w:val="30"/>
    <w:qFormat/>
    <w:rsid w:val="002A1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8DE"/>
    <w:rPr>
      <w:i/>
      <w:iCs/>
      <w:color w:val="0F4761" w:themeColor="accent1" w:themeShade="BF"/>
    </w:rPr>
  </w:style>
  <w:style w:type="character" w:styleId="IntenseReference">
    <w:name w:val="Intense Reference"/>
    <w:basedOn w:val="DefaultParagraphFont"/>
    <w:uiPriority w:val="32"/>
    <w:qFormat/>
    <w:rsid w:val="002A18DE"/>
    <w:rPr>
      <w:b/>
      <w:bCs/>
      <w:smallCaps/>
      <w:color w:val="0F4761" w:themeColor="accent1" w:themeShade="BF"/>
      <w:spacing w:val="5"/>
    </w:rPr>
  </w:style>
  <w:style w:type="character" w:styleId="Hyperlink">
    <w:name w:val="Hyperlink"/>
    <w:basedOn w:val="DefaultParagraphFont"/>
    <w:uiPriority w:val="99"/>
    <w:unhideWhenUsed/>
    <w:rsid w:val="00C63524"/>
    <w:rPr>
      <w:color w:val="467886" w:themeColor="hyperlink"/>
      <w:u w:val="single"/>
    </w:rPr>
  </w:style>
  <w:style w:type="character" w:styleId="UnresolvedMention">
    <w:name w:val="Unresolved Mention"/>
    <w:basedOn w:val="DefaultParagraphFont"/>
    <w:uiPriority w:val="99"/>
    <w:semiHidden/>
    <w:unhideWhenUsed/>
    <w:rsid w:val="00C635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connecticut/supreme-court/2025-sc20951.pdf"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cases.justia.com/federal/appellate-courts/ca11/24-12436/24-12436-2025-12-09.pdf"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9/24-2552/24-2552-2025-12-11.pdf" TargetMode="External"/><Relationship Id="rId11" Type="http://schemas.openxmlformats.org/officeDocument/2006/relationships/hyperlink" Target="https://cases.justia.com/federal/appellate-courts/ca11/25-10604/25-10604-2025-12-05.pdf" TargetMode="External"/><Relationship Id="rId5" Type="http://schemas.openxmlformats.org/officeDocument/2006/relationships/hyperlink" Target="https://cases.justia.com/federal/appellate-courts/ca5/24-30043/24-30043-2025-12-10.pdf" TargetMode="External"/><Relationship Id="rId10" Type="http://schemas.openxmlformats.org/officeDocument/2006/relationships/hyperlink" Target="https://cases.justia.com/federal/appellate-courts/ca3/24-2907/24-2907-2025-12-05.pdf" TargetMode="External"/><Relationship Id="rId4" Type="http://schemas.openxmlformats.org/officeDocument/2006/relationships/hyperlink" Target="https://cases.justia.com/federal/appellate-courts/ca4/24-4502/24-4502-2025-12-11.pdf" TargetMode="External"/><Relationship Id="rId9" Type="http://schemas.openxmlformats.org/officeDocument/2006/relationships/hyperlink" Target="https://cases.justia.com/idaho/supreme-court-criminal/2025-5078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2858</Words>
  <Characters>16291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Barnard, Bruce-Alan</cp:lastModifiedBy>
  <cp:revision>3</cp:revision>
  <dcterms:created xsi:type="dcterms:W3CDTF">2025-12-22T14:23:00Z</dcterms:created>
  <dcterms:modified xsi:type="dcterms:W3CDTF">2025-12-22T14:55:00Z</dcterms:modified>
</cp:coreProperties>
</file>