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F98A" w14:textId="48CAA4DE" w:rsidR="005D0F50" w:rsidRDefault="00E41B1D" w:rsidP="00E41B1D">
      <w:r>
        <w:t>CASES 12DEC2025</w:t>
      </w:r>
    </w:p>
    <w:p w14:paraId="73C21D37" w14:textId="77777777" w:rsidR="00E41B1D" w:rsidRDefault="00E41B1D" w:rsidP="00E41B1D"/>
    <w:p w14:paraId="1567235A" w14:textId="2E6AA94B" w:rsidR="00E41B1D" w:rsidRPr="00E41B1D" w:rsidRDefault="00E41B1D" w:rsidP="00E41B1D">
      <w:pPr>
        <w:rPr>
          <w:b/>
          <w:bCs/>
        </w:rPr>
      </w:pPr>
      <w:r w:rsidRPr="00E41B1D">
        <w:rPr>
          <w:b/>
          <w:bCs/>
        </w:rPr>
        <w:t>U</w:t>
      </w:r>
      <w:r w:rsidRPr="00E41B1D">
        <w:rPr>
          <w:b/>
          <w:bCs/>
        </w:rPr>
        <w:t xml:space="preserve">nited </w:t>
      </w:r>
      <w:r w:rsidRPr="00E41B1D">
        <w:rPr>
          <w:b/>
          <w:bCs/>
        </w:rPr>
        <w:t>S</w:t>
      </w:r>
      <w:r w:rsidRPr="00E41B1D">
        <w:rPr>
          <w:b/>
          <w:bCs/>
        </w:rPr>
        <w:t>tates</w:t>
      </w:r>
      <w:r w:rsidRPr="00E41B1D">
        <w:rPr>
          <w:b/>
          <w:bCs/>
        </w:rPr>
        <w:t xml:space="preserve"> v. Hawkins</w:t>
      </w:r>
    </w:p>
    <w:p w14:paraId="6A14ABC9" w14:textId="093035C5" w:rsidR="00E41B1D" w:rsidRDefault="00E41B1D" w:rsidP="00E41B1D">
      <w:r>
        <w:t>U.S. Court of Appeals for the Fourth Circuit</w:t>
      </w:r>
    </w:p>
    <w:p w14:paraId="02121F8A" w14:textId="03B62537" w:rsidR="00E41B1D" w:rsidRDefault="00E41B1D" w:rsidP="00E41B1D">
      <w:r>
        <w:t>24-4502</w:t>
      </w:r>
    </w:p>
    <w:p w14:paraId="0A9FDF2E" w14:textId="0EB9D6C3" w:rsidR="00E41B1D" w:rsidRDefault="00E41B1D" w:rsidP="00E41B1D">
      <w:r>
        <w:t>December 11, 2025</w:t>
      </w:r>
    </w:p>
    <w:p w14:paraId="3241A358" w14:textId="77777777" w:rsidR="00E41B1D" w:rsidRDefault="00E41B1D" w:rsidP="00E41B1D"/>
    <w:p w14:paraId="5257BB99" w14:textId="739117C4" w:rsidR="00E41B1D" w:rsidRPr="00E41B1D" w:rsidRDefault="00E41B1D" w:rsidP="00E41B1D">
      <w:pPr>
        <w:rPr>
          <w:i/>
          <w:iCs/>
        </w:rPr>
      </w:pPr>
      <w:r w:rsidRPr="00E41B1D">
        <w:rPr>
          <w:i/>
          <w:iCs/>
        </w:rPr>
        <w:t>Summary:     Facts did not create reasonable suspicion to support extended traffic stop.</w:t>
      </w:r>
    </w:p>
    <w:p w14:paraId="0AC4B66D" w14:textId="77777777" w:rsidR="00E41B1D" w:rsidRDefault="00E41B1D" w:rsidP="00E41B1D"/>
    <w:p w14:paraId="37971EE8" w14:textId="77777777" w:rsidR="00E41B1D" w:rsidRDefault="00E41B1D" w:rsidP="00E41B1D">
      <w:r>
        <w:t xml:space="preserve">Drug task force officers in West Virginia observed a car with expired registration, dark window tint, and a malfunctioning taillight, driven by Cornelious Johnson—an individual known to them from a prior drug conviction and currently on federal supervised release. The officers watched as Johnson and his passenger interacted with a man, Jackie Byrd, at an apartment complex previously associated with drug investigations. Although the officers </w:t>
      </w:r>
      <w:proofErr w:type="gramStart"/>
      <w:r>
        <w:t>suspected</w:t>
      </w:r>
      <w:proofErr w:type="gramEnd"/>
      <w:r>
        <w:t xml:space="preserve"> a drug transaction, they did not witness any exchange of items. Shortly after, Tremayne Hawkins entered the back seat, and the car left the complex. Officer Stanley, informed by the task force, stopped the car for the observed traffic violations </w:t>
      </w:r>
      <w:proofErr w:type="gramStart"/>
      <w:r>
        <w:t>and,</w:t>
      </w:r>
      <w:proofErr w:type="gramEnd"/>
      <w:r>
        <w:t xml:space="preserve"> suspecting drug activity, separated and questioned the occupants about their interaction with Byrd. Citing minor inconsistencies in their answers, Stanley called for a K9 unit, which alerted to drugs. A subsequent search yielded a firearm on Hawkins, who admitted to being prohibited from possessing one due to </w:t>
      </w:r>
      <w:proofErr w:type="gramStart"/>
      <w:r>
        <w:t>a prior</w:t>
      </w:r>
      <w:proofErr w:type="gramEnd"/>
      <w:r>
        <w:t xml:space="preserve"> conviction.</w:t>
      </w:r>
    </w:p>
    <w:p w14:paraId="3B8983AC" w14:textId="77777777" w:rsidR="00E41B1D" w:rsidRDefault="00E41B1D" w:rsidP="00E41B1D"/>
    <w:p w14:paraId="258D2BB6" w14:textId="77777777" w:rsidR="00E41B1D" w:rsidRDefault="00E41B1D" w:rsidP="00E41B1D">
      <w:r>
        <w:t>The United States District Court for the Northern District of West Virginia denied Hawkins’ motion to suppress the firearm, holding that the officers had reasonable suspicion to extend the stop based on the area’s reputation, Johnson’s prior conviction, the observed interaction with Byrd, and the inconsistent statements from the occupants.</w:t>
      </w:r>
    </w:p>
    <w:p w14:paraId="33D2B0DF" w14:textId="77777777" w:rsidR="00E41B1D" w:rsidRDefault="00E41B1D" w:rsidP="00E41B1D"/>
    <w:p w14:paraId="6BF708AB" w14:textId="34D826FD" w:rsidR="00E41B1D" w:rsidRDefault="00E41B1D" w:rsidP="00E41B1D">
      <w:r>
        <w:t xml:space="preserve">The United States Court of Appeals for the Fourth Circuit reviewed the district court’s legal conclusions de novo and its factual findings for clear error. The Fourth Circuit held that none of the cited factors—alone or in combination—provided reasonable suspicion to extend the stop. The court emphasized that presence in an area associated with prior investigations, a dated conviction, innocuous interactions, and minor, reconcilable inconsistencies in statements did not collectively amount to reasonable suspicion of criminal activity. Accordingly, the Fourth Circuit reversed the district court’s denial of the suppression motion and </w:t>
      </w:r>
      <w:proofErr w:type="gramStart"/>
      <w:r>
        <w:t>remanded</w:t>
      </w:r>
      <w:proofErr w:type="gramEnd"/>
      <w:r>
        <w:t xml:space="preserve"> the case for further proceedings.</w:t>
      </w:r>
    </w:p>
    <w:p w14:paraId="44F476CF" w14:textId="77777777" w:rsidR="00E41B1D" w:rsidRDefault="00E41B1D" w:rsidP="00E41B1D"/>
    <w:p w14:paraId="284C019B" w14:textId="110A8E13" w:rsidR="00E41B1D" w:rsidRDefault="00E41B1D" w:rsidP="00E41B1D">
      <w:hyperlink r:id="rId4" w:history="1">
        <w:r w:rsidRPr="00574043">
          <w:rPr>
            <w:rStyle w:val="Hyperlink"/>
          </w:rPr>
          <w:t>https://cases.justia.com/federal/appellate-courts/ca4/24-4502/24-4502-2025-12-11.pdf</w:t>
        </w:r>
      </w:hyperlink>
      <w:r>
        <w:t xml:space="preserve"> </w:t>
      </w:r>
    </w:p>
    <w:p w14:paraId="6023CCD1" w14:textId="77777777" w:rsidR="00E41B1D" w:rsidRDefault="00E41B1D" w:rsidP="00E41B1D"/>
    <w:p w14:paraId="2A42CE5B" w14:textId="5FF33347" w:rsidR="00E41B1D" w:rsidRDefault="00E41B1D">
      <w:r>
        <w:br w:type="page"/>
      </w:r>
    </w:p>
    <w:p w14:paraId="100309CE" w14:textId="77777777" w:rsidR="00E41B1D" w:rsidRDefault="00E41B1D" w:rsidP="00E41B1D"/>
    <w:sectPr w:rsidR="00E41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A0"/>
    <w:rsid w:val="005D0F50"/>
    <w:rsid w:val="007C5A88"/>
    <w:rsid w:val="008906A0"/>
    <w:rsid w:val="00C12DDB"/>
    <w:rsid w:val="00D57B71"/>
    <w:rsid w:val="00E4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BB06"/>
  <w15:chartTrackingRefBased/>
  <w15:docId w15:val="{1CC6415C-EF7C-4203-9AC9-C1F146D8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6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6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6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6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6A0"/>
    <w:rPr>
      <w:rFonts w:eastAsiaTheme="majorEastAsia" w:cstheme="majorBidi"/>
      <w:color w:val="272727" w:themeColor="text1" w:themeTint="D8"/>
    </w:rPr>
  </w:style>
  <w:style w:type="paragraph" w:styleId="Title">
    <w:name w:val="Title"/>
    <w:basedOn w:val="Normal"/>
    <w:next w:val="Normal"/>
    <w:link w:val="TitleChar"/>
    <w:uiPriority w:val="10"/>
    <w:qFormat/>
    <w:rsid w:val="008906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6A0"/>
    <w:pPr>
      <w:spacing w:before="160"/>
      <w:jc w:val="center"/>
    </w:pPr>
    <w:rPr>
      <w:i/>
      <w:iCs/>
      <w:color w:val="404040" w:themeColor="text1" w:themeTint="BF"/>
    </w:rPr>
  </w:style>
  <w:style w:type="character" w:customStyle="1" w:styleId="QuoteChar">
    <w:name w:val="Quote Char"/>
    <w:basedOn w:val="DefaultParagraphFont"/>
    <w:link w:val="Quote"/>
    <w:uiPriority w:val="29"/>
    <w:rsid w:val="008906A0"/>
    <w:rPr>
      <w:i/>
      <w:iCs/>
      <w:color w:val="404040" w:themeColor="text1" w:themeTint="BF"/>
    </w:rPr>
  </w:style>
  <w:style w:type="paragraph" w:styleId="ListParagraph">
    <w:name w:val="List Paragraph"/>
    <w:basedOn w:val="Normal"/>
    <w:uiPriority w:val="34"/>
    <w:qFormat/>
    <w:rsid w:val="008906A0"/>
    <w:pPr>
      <w:ind w:left="720"/>
      <w:contextualSpacing/>
    </w:pPr>
  </w:style>
  <w:style w:type="character" w:styleId="IntenseEmphasis">
    <w:name w:val="Intense Emphasis"/>
    <w:basedOn w:val="DefaultParagraphFont"/>
    <w:uiPriority w:val="21"/>
    <w:qFormat/>
    <w:rsid w:val="008906A0"/>
    <w:rPr>
      <w:i/>
      <w:iCs/>
      <w:color w:val="0F4761" w:themeColor="accent1" w:themeShade="BF"/>
    </w:rPr>
  </w:style>
  <w:style w:type="paragraph" w:styleId="IntenseQuote">
    <w:name w:val="Intense Quote"/>
    <w:basedOn w:val="Normal"/>
    <w:next w:val="Normal"/>
    <w:link w:val="IntenseQuoteChar"/>
    <w:uiPriority w:val="30"/>
    <w:qFormat/>
    <w:rsid w:val="00890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6A0"/>
    <w:rPr>
      <w:i/>
      <w:iCs/>
      <w:color w:val="0F4761" w:themeColor="accent1" w:themeShade="BF"/>
    </w:rPr>
  </w:style>
  <w:style w:type="character" w:styleId="IntenseReference">
    <w:name w:val="Intense Reference"/>
    <w:basedOn w:val="DefaultParagraphFont"/>
    <w:uiPriority w:val="32"/>
    <w:qFormat/>
    <w:rsid w:val="008906A0"/>
    <w:rPr>
      <w:b/>
      <w:bCs/>
      <w:smallCaps/>
      <w:color w:val="0F4761" w:themeColor="accent1" w:themeShade="BF"/>
      <w:spacing w:val="5"/>
    </w:rPr>
  </w:style>
  <w:style w:type="character" w:styleId="Hyperlink">
    <w:name w:val="Hyperlink"/>
    <w:basedOn w:val="DefaultParagraphFont"/>
    <w:uiPriority w:val="99"/>
    <w:unhideWhenUsed/>
    <w:rsid w:val="00E41B1D"/>
    <w:rPr>
      <w:color w:val="467886" w:themeColor="hyperlink"/>
      <w:u w:val="single"/>
    </w:rPr>
  </w:style>
  <w:style w:type="character" w:styleId="UnresolvedMention">
    <w:name w:val="Unresolved Mention"/>
    <w:basedOn w:val="DefaultParagraphFont"/>
    <w:uiPriority w:val="99"/>
    <w:semiHidden/>
    <w:unhideWhenUsed/>
    <w:rsid w:val="00E41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ses.justia.com/federal/appellate-courts/ca4/24-4502/24-4502-2025-12-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2025-12-14T18:37:00Z</dcterms:created>
  <dcterms:modified xsi:type="dcterms:W3CDTF">2025-12-14T20:33:00Z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14b097f9-521e-4482-901f-0b4d5565a659</vt:lpwstr>
  </property>
</Properties>
</file>