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3CAAC" w14:textId="49DD94A7" w:rsidR="00D41EC4" w:rsidRDefault="00734FD7" w:rsidP="00274D10">
      <w:pPr>
        <w:spacing w:after="0" w:line="240" w:lineRule="auto"/>
      </w:pPr>
      <w:r>
        <w:t>19DEC2025 Cases</w:t>
      </w:r>
    </w:p>
    <w:p w14:paraId="16B6740B" w14:textId="77777777" w:rsidR="00734FD7" w:rsidRDefault="00734FD7" w:rsidP="00274D10">
      <w:pPr>
        <w:spacing w:after="0" w:line="240" w:lineRule="auto"/>
      </w:pPr>
    </w:p>
    <w:p w14:paraId="1BC67FD6" w14:textId="77777777" w:rsidR="00274D10" w:rsidRPr="00274D10" w:rsidRDefault="00274D10" w:rsidP="00274D10">
      <w:pPr>
        <w:spacing w:after="0" w:line="240" w:lineRule="auto"/>
        <w:rPr>
          <w:b/>
          <w:bCs/>
        </w:rPr>
      </w:pPr>
      <w:r w:rsidRPr="00274D10">
        <w:rPr>
          <w:b/>
          <w:bCs/>
        </w:rPr>
        <w:t>Miller v. City of Philadelphia</w:t>
      </w:r>
    </w:p>
    <w:p w14:paraId="3F2D103C" w14:textId="4C8ED043" w:rsidR="00274D10" w:rsidRDefault="00274D10" w:rsidP="00274D10">
      <w:pPr>
        <w:spacing w:after="0" w:line="240" w:lineRule="auto"/>
      </w:pPr>
      <w:r>
        <w:t>U.S. Court of Appeals for the Third Circuit</w:t>
      </w:r>
    </w:p>
    <w:p w14:paraId="7EF66C78" w14:textId="67B40FEA" w:rsidR="00274D10" w:rsidRDefault="00274D10" w:rsidP="00274D10">
      <w:pPr>
        <w:spacing w:after="0" w:line="240" w:lineRule="auto"/>
      </w:pPr>
      <w:r>
        <w:t>24-3191</w:t>
      </w:r>
    </w:p>
    <w:p w14:paraId="40AE95CE" w14:textId="127CFCD5" w:rsidR="00274D10" w:rsidRDefault="00274D10" w:rsidP="00274D10">
      <w:pPr>
        <w:spacing w:after="0" w:line="240" w:lineRule="auto"/>
      </w:pPr>
      <w:r>
        <w:t>December 15, 2025</w:t>
      </w:r>
    </w:p>
    <w:p w14:paraId="04B5CC44" w14:textId="77777777" w:rsidR="00274D10" w:rsidRDefault="00274D10" w:rsidP="00274D10">
      <w:pPr>
        <w:spacing w:after="0" w:line="240" w:lineRule="auto"/>
      </w:pPr>
    </w:p>
    <w:p w14:paraId="37048FAF" w14:textId="4D142027" w:rsidR="00274D10" w:rsidRPr="00274D10" w:rsidRDefault="00274D10" w:rsidP="00274D10">
      <w:pPr>
        <w:spacing w:after="0" w:line="240" w:lineRule="auto"/>
        <w:rPr>
          <w:i/>
          <w:iCs/>
        </w:rPr>
      </w:pPr>
      <w:r w:rsidRPr="00274D10">
        <w:rPr>
          <w:i/>
          <w:iCs/>
        </w:rPr>
        <w:t>Summary: Officers had PC that suspect lived at the address and was present in early hours when arrest warrant was executed at the address which was not suspect’s actual address.</w:t>
      </w:r>
    </w:p>
    <w:p w14:paraId="450908F6" w14:textId="77777777" w:rsidR="00274D10" w:rsidRDefault="00274D10" w:rsidP="00274D10">
      <w:pPr>
        <w:spacing w:after="0" w:line="240" w:lineRule="auto"/>
      </w:pPr>
    </w:p>
    <w:p w14:paraId="06A99DC9" w14:textId="77777777" w:rsidR="00274D10" w:rsidRDefault="00274D10" w:rsidP="00274D10">
      <w:pPr>
        <w:spacing w:after="0" w:line="240" w:lineRule="auto"/>
      </w:pPr>
      <w:r>
        <w:t xml:space="preserve">Police investigating a fatal drive-by shooting in Philadelphia identified several suspects, including T.C., and obtained an arrest warrant for him. Detectives used multiple databases, including CLEAR and police records, to determine T.C.’s last known address, which pointed to 4838 </w:t>
      </w:r>
      <w:proofErr w:type="spellStart"/>
      <w:r>
        <w:t>Stenton</w:t>
      </w:r>
      <w:proofErr w:type="spellEnd"/>
      <w:r>
        <w:t xml:space="preserve"> Avenue. Believing T.C. resided there, detectives and a SWAT team executed the warrant early one morning. Instead of finding T.C., officers encountered Richard Miller and Tonya Crawley, who had lived at the residence for two years and were not connected to T.C. The officers detained Miller and Crawley briefly and then left after learning T.C. was not present. T.C. was later located and cleared of wrongdoing.</w:t>
      </w:r>
    </w:p>
    <w:p w14:paraId="3416E862" w14:textId="77777777" w:rsidR="00274D10" w:rsidRDefault="00274D10" w:rsidP="00274D10">
      <w:pPr>
        <w:spacing w:after="0" w:line="240" w:lineRule="auto"/>
      </w:pPr>
    </w:p>
    <w:p w14:paraId="6DDDD290" w14:textId="77777777" w:rsidR="00274D10" w:rsidRDefault="00274D10" w:rsidP="00274D10">
      <w:pPr>
        <w:spacing w:after="0" w:line="240" w:lineRule="auto"/>
      </w:pPr>
      <w:r>
        <w:t xml:space="preserve">Miller and Crawley sued the involved officers and the City of Philadelphia in the United States District Court for the Eastern District of Pennsylvania under 42 U.S.C. § 1983, alleging that the officers lacked probable cause and violated the Fourth Amendment, and that the </w:t>
      </w:r>
      <w:proofErr w:type="gramStart"/>
      <w:r>
        <w:t>City</w:t>
      </w:r>
      <w:proofErr w:type="gramEnd"/>
      <w:r>
        <w:t xml:space="preserve"> failed to train or supervise its officers. The District Court dismissed the municipal-liability claim for failure to state a claim and granted summary judgment to the officers on the unlawful-entry claim, holding that they had probable cause to enter the residence.</w:t>
      </w:r>
    </w:p>
    <w:p w14:paraId="71E3CBC8" w14:textId="77777777" w:rsidR="00274D10" w:rsidRDefault="00274D10" w:rsidP="00274D10">
      <w:pPr>
        <w:spacing w:after="0" w:line="240" w:lineRule="auto"/>
      </w:pPr>
    </w:p>
    <w:p w14:paraId="24C9A422" w14:textId="4B0DA008" w:rsidR="00734FD7" w:rsidRDefault="00274D10" w:rsidP="00274D10">
      <w:pPr>
        <w:spacing w:after="0" w:line="240" w:lineRule="auto"/>
      </w:pPr>
      <w:r>
        <w:t>On appeal, the United States Court of Appeals for the Third Circuit reviewed both the dismissal and summary judgment de novo. The court held that, although the District Court incorrectly invoked the good-faith exception, the error was harmless because the officers had probable cause to believe T.C. lived at the address and would likely be home at the early hour. The court also held that the plaintiffs failed to allege facts sufficient to establish municipal liability, as there was no pattern of similar constitutional violations or plausible basis for single-incident liability. The Third Circuit affirmed the District Court’s decisions.</w:t>
      </w:r>
    </w:p>
    <w:p w14:paraId="7B0F4199" w14:textId="77777777" w:rsidR="00274D10" w:rsidRDefault="00274D10" w:rsidP="00274D10">
      <w:pPr>
        <w:spacing w:after="0" w:line="240" w:lineRule="auto"/>
      </w:pPr>
    </w:p>
    <w:p w14:paraId="2BFE628C" w14:textId="681C3030" w:rsidR="00274D10" w:rsidRDefault="00274D10" w:rsidP="00274D10">
      <w:pPr>
        <w:spacing w:after="0" w:line="240" w:lineRule="auto"/>
      </w:pPr>
      <w:hyperlink r:id="rId4" w:history="1">
        <w:r w:rsidRPr="00DC2E4A">
          <w:rPr>
            <w:rStyle w:val="Hyperlink"/>
          </w:rPr>
          <w:t>https://cases.justia.com/federal/appellate-courts/ca3/24-3191/24-3191-2025-12-15.pdf</w:t>
        </w:r>
      </w:hyperlink>
      <w:r>
        <w:t xml:space="preserve">  </w:t>
      </w:r>
    </w:p>
    <w:p w14:paraId="4922DE00" w14:textId="77777777" w:rsidR="00274D10" w:rsidRDefault="00274D10" w:rsidP="00274D10">
      <w:pPr>
        <w:spacing w:after="0" w:line="240" w:lineRule="auto"/>
      </w:pPr>
    </w:p>
    <w:p w14:paraId="2120C621" w14:textId="015D951E" w:rsidR="00274D10" w:rsidRDefault="00274D10">
      <w:r>
        <w:br w:type="page"/>
      </w:r>
    </w:p>
    <w:p w14:paraId="7CC1DD3E" w14:textId="065B7D7B" w:rsidR="00753FD5" w:rsidRPr="00753FD5" w:rsidRDefault="00753FD5" w:rsidP="00753FD5">
      <w:pPr>
        <w:spacing w:after="0" w:line="240" w:lineRule="auto"/>
        <w:rPr>
          <w:b/>
          <w:bCs/>
        </w:rPr>
      </w:pPr>
      <w:r w:rsidRPr="00753FD5">
        <w:rPr>
          <w:b/>
          <w:bCs/>
        </w:rPr>
        <w:lastRenderedPageBreak/>
        <w:t>U</w:t>
      </w:r>
      <w:r w:rsidRPr="00753FD5">
        <w:rPr>
          <w:b/>
          <w:bCs/>
        </w:rPr>
        <w:t>nited States</w:t>
      </w:r>
      <w:r w:rsidRPr="00753FD5">
        <w:rPr>
          <w:b/>
          <w:bCs/>
        </w:rPr>
        <w:t xml:space="preserve"> v. Villarreal</w:t>
      </w:r>
    </w:p>
    <w:p w14:paraId="3A5AA459" w14:textId="15036B3D" w:rsidR="00753FD5" w:rsidRDefault="00753FD5" w:rsidP="00753FD5">
      <w:pPr>
        <w:spacing w:after="0" w:line="240" w:lineRule="auto"/>
      </w:pPr>
      <w:r>
        <w:t>U.S. Court of Appeals for the Fifth Circuit</w:t>
      </w:r>
    </w:p>
    <w:p w14:paraId="6D3DD171" w14:textId="3F35C2B3" w:rsidR="00753FD5" w:rsidRDefault="00753FD5" w:rsidP="00753FD5">
      <w:pPr>
        <w:spacing w:after="0" w:line="240" w:lineRule="auto"/>
      </w:pPr>
      <w:r>
        <w:t>24-40525</w:t>
      </w:r>
    </w:p>
    <w:p w14:paraId="3AF68170" w14:textId="4840956E" w:rsidR="00753FD5" w:rsidRDefault="00753FD5" w:rsidP="00753FD5">
      <w:pPr>
        <w:spacing w:after="0" w:line="240" w:lineRule="auto"/>
      </w:pPr>
      <w:r>
        <w:t>December 12, 2025</w:t>
      </w:r>
    </w:p>
    <w:p w14:paraId="1DD0733E" w14:textId="77777777" w:rsidR="00753FD5" w:rsidRDefault="00753FD5" w:rsidP="00753FD5">
      <w:pPr>
        <w:spacing w:after="0" w:line="240" w:lineRule="auto"/>
      </w:pPr>
    </w:p>
    <w:p w14:paraId="2242CFFC" w14:textId="1752C5D7" w:rsidR="00753FD5" w:rsidRPr="00753FD5" w:rsidRDefault="00753FD5" w:rsidP="00753FD5">
      <w:pPr>
        <w:spacing w:after="0" w:line="240" w:lineRule="auto"/>
        <w:rPr>
          <w:i/>
          <w:iCs/>
        </w:rPr>
      </w:pPr>
      <w:r w:rsidRPr="00753FD5">
        <w:rPr>
          <w:i/>
          <w:iCs/>
        </w:rPr>
        <w:t>Summary: I</w:t>
      </w:r>
      <w:r w:rsidRPr="00753FD5">
        <w:rPr>
          <w:i/>
          <w:iCs/>
        </w:rPr>
        <w:t>nevitable-discovery doctrine applied because an inventory search, conducted pursuant to standard department policy, would have discovered the handgun.</w:t>
      </w:r>
    </w:p>
    <w:p w14:paraId="7831C465" w14:textId="77777777" w:rsidR="00753FD5" w:rsidRDefault="00753FD5" w:rsidP="00753FD5">
      <w:pPr>
        <w:spacing w:after="0" w:line="240" w:lineRule="auto"/>
      </w:pPr>
    </w:p>
    <w:p w14:paraId="28484C55" w14:textId="77777777" w:rsidR="00753FD5" w:rsidRDefault="00753FD5" w:rsidP="00753FD5">
      <w:pPr>
        <w:spacing w:after="0" w:line="240" w:lineRule="auto"/>
      </w:pPr>
      <w:r>
        <w:t>During a traffic stop in Hidalgo County, Texas, a sheriff’s deputy pulled over Gerardo Villarreal for driving with a partially obscured license plate. The deputy discovered Villarreal did not have a driver’s license or insurance. After a canine sniff alerted to an item in the vehicle, officers searched the car, finding a handgun and a small amount of cocaine. Villarreal was later indicted for being a felon in possession of a firearm under federal law. He moved to suppress the handgun as evidence, arguing the search violated his Fourth Amendment rights.</w:t>
      </w:r>
    </w:p>
    <w:p w14:paraId="78A5133F" w14:textId="77777777" w:rsidR="00753FD5" w:rsidRDefault="00753FD5" w:rsidP="00753FD5">
      <w:pPr>
        <w:spacing w:after="0" w:line="240" w:lineRule="auto"/>
      </w:pPr>
    </w:p>
    <w:p w14:paraId="6FE044D4" w14:textId="77777777" w:rsidR="00753FD5" w:rsidRDefault="00753FD5" w:rsidP="00753FD5">
      <w:pPr>
        <w:spacing w:after="0" w:line="240" w:lineRule="auto"/>
      </w:pPr>
      <w:r>
        <w:t>The United States District Court for the Southern District of Texas held a hearing on the motion to suppress. The court heard testimony from the arresting deputy, who explained that department policy generally required impounding vehicles when the driver lacked a license or insurance, with certain exceptions. The deputy testified he would have impounded Villarreal’s vehicle and performed an inventory search, which would have revealed the handgun. Villarreal attempted to impeach this testimony, referencing another incident where the deputy did not impound a vehicle under similar circumstances, but the deputy explained possible exceptions. The district court found the deputy credible and denied the motion to suppress, applying the inevitable-discovery doctrine.</w:t>
      </w:r>
    </w:p>
    <w:p w14:paraId="09BD7D6B" w14:textId="77777777" w:rsidR="00753FD5" w:rsidRDefault="00753FD5" w:rsidP="00753FD5">
      <w:pPr>
        <w:spacing w:after="0" w:line="240" w:lineRule="auto"/>
      </w:pPr>
    </w:p>
    <w:p w14:paraId="7E2E4B0E" w14:textId="458123D9" w:rsidR="00274D10" w:rsidRDefault="00753FD5" w:rsidP="00753FD5">
      <w:pPr>
        <w:spacing w:after="0" w:line="240" w:lineRule="auto"/>
      </w:pPr>
      <w:r>
        <w:t>On appeal, the United States Court of Appeals for the Fifth Circuit reviewed the district court’s factual findings for clear error and legal conclusions de novo. The Fifth Circuit held that the inevitable-discovery doctrine applied because the government showed by a preponderance of the evidence that an inventory search, conducted pursuant to standard department policy, would have discovered the handgun. The court found that the impounding and inventory search were imminent before any alleged misconduct, and the department’s policy sufficiently limited officer discretion. The Fifth Circuit affirmed the district court’s judgment, upholding denial of the motion to suppress.</w:t>
      </w:r>
    </w:p>
    <w:p w14:paraId="0DA9FBF3" w14:textId="77777777" w:rsidR="00753FD5" w:rsidRDefault="00753FD5" w:rsidP="00753FD5">
      <w:pPr>
        <w:spacing w:after="0" w:line="240" w:lineRule="auto"/>
      </w:pPr>
    </w:p>
    <w:p w14:paraId="432004C7" w14:textId="2235015A" w:rsidR="00753FD5" w:rsidRDefault="00753FD5" w:rsidP="00753FD5">
      <w:pPr>
        <w:spacing w:after="0" w:line="240" w:lineRule="auto"/>
      </w:pPr>
      <w:hyperlink r:id="rId5" w:history="1">
        <w:r w:rsidRPr="00DC2E4A">
          <w:rPr>
            <w:rStyle w:val="Hyperlink"/>
          </w:rPr>
          <w:t>https://cases.justia.com/federal/appellate-courts/ca5/24-40525/24-40525-2025-12-12.pdf</w:t>
        </w:r>
      </w:hyperlink>
      <w:r>
        <w:t xml:space="preserve"> </w:t>
      </w:r>
    </w:p>
    <w:p w14:paraId="155C0847" w14:textId="77777777" w:rsidR="00753FD5" w:rsidRDefault="00753FD5" w:rsidP="00753FD5">
      <w:pPr>
        <w:spacing w:after="0" w:line="240" w:lineRule="auto"/>
      </w:pPr>
    </w:p>
    <w:p w14:paraId="191346D4" w14:textId="1390E2E6" w:rsidR="00753FD5" w:rsidRDefault="00753FD5">
      <w:r>
        <w:br w:type="page"/>
      </w:r>
    </w:p>
    <w:p w14:paraId="4F595A28" w14:textId="77777777" w:rsidR="00753FD5" w:rsidRPr="00753FD5" w:rsidRDefault="00753FD5" w:rsidP="00753FD5">
      <w:pPr>
        <w:spacing w:after="0" w:line="240" w:lineRule="auto"/>
        <w:rPr>
          <w:b/>
          <w:bCs/>
        </w:rPr>
      </w:pPr>
      <w:r w:rsidRPr="00753FD5">
        <w:rPr>
          <w:b/>
          <w:bCs/>
        </w:rPr>
        <w:lastRenderedPageBreak/>
        <w:t xml:space="preserve">Blankenship v. Louisville-Jefferson </w:t>
      </w:r>
      <w:proofErr w:type="spellStart"/>
      <w:r w:rsidRPr="00753FD5">
        <w:rPr>
          <w:b/>
          <w:bCs/>
        </w:rPr>
        <w:t>Cnty</w:t>
      </w:r>
      <w:proofErr w:type="spellEnd"/>
      <w:r w:rsidRPr="00753FD5">
        <w:rPr>
          <w:b/>
          <w:bCs/>
        </w:rPr>
        <w:t>. Metro Gov't</w:t>
      </w:r>
    </w:p>
    <w:p w14:paraId="2B0CC89D" w14:textId="707874F6" w:rsidR="00753FD5" w:rsidRDefault="00753FD5" w:rsidP="00753FD5">
      <w:pPr>
        <w:spacing w:after="0" w:line="240" w:lineRule="auto"/>
      </w:pPr>
      <w:r>
        <w:t>U.S. Court of Appeals for the Sixth Circuit</w:t>
      </w:r>
    </w:p>
    <w:p w14:paraId="4D430580" w14:textId="5799D810" w:rsidR="00753FD5" w:rsidRDefault="00753FD5" w:rsidP="00753FD5">
      <w:pPr>
        <w:spacing w:after="0" w:line="240" w:lineRule="auto"/>
      </w:pPr>
      <w:r>
        <w:t>25-5014</w:t>
      </w:r>
    </w:p>
    <w:p w14:paraId="195BCC54" w14:textId="7FD5CC44" w:rsidR="00753FD5" w:rsidRDefault="00753FD5" w:rsidP="00753FD5">
      <w:pPr>
        <w:spacing w:after="0" w:line="240" w:lineRule="auto"/>
      </w:pPr>
      <w:r>
        <w:t>December 16, 2025</w:t>
      </w:r>
    </w:p>
    <w:p w14:paraId="71BA6AC9" w14:textId="77777777" w:rsidR="00753FD5" w:rsidRDefault="00753FD5" w:rsidP="00753FD5">
      <w:pPr>
        <w:spacing w:after="0" w:line="240" w:lineRule="auto"/>
      </w:pPr>
    </w:p>
    <w:p w14:paraId="79F37647" w14:textId="63455636" w:rsidR="00753FD5" w:rsidRPr="00753FD5" w:rsidRDefault="00753FD5" w:rsidP="00753FD5">
      <w:pPr>
        <w:spacing w:after="0" w:line="240" w:lineRule="auto"/>
        <w:rPr>
          <w:i/>
          <w:iCs/>
        </w:rPr>
      </w:pPr>
      <w:r w:rsidRPr="00753FD5">
        <w:rPr>
          <w:i/>
          <w:iCs/>
        </w:rPr>
        <w:t xml:space="preserve">Summary: No First Amendment violation in </w:t>
      </w:r>
      <w:r w:rsidRPr="00753FD5">
        <w:rPr>
          <w:i/>
          <w:iCs/>
        </w:rPr>
        <w:t xml:space="preserve">restricted area </w:t>
      </w:r>
      <w:r w:rsidRPr="00753FD5">
        <w:rPr>
          <w:i/>
          <w:iCs/>
        </w:rPr>
        <w:t xml:space="preserve">that </w:t>
      </w:r>
      <w:r w:rsidRPr="00753FD5">
        <w:rPr>
          <w:i/>
          <w:iCs/>
        </w:rPr>
        <w:t>was a limited public forum and access restrictions were content-neutral and survived intermediate scrutiny.</w:t>
      </w:r>
    </w:p>
    <w:p w14:paraId="0C0D7077" w14:textId="77777777" w:rsidR="00753FD5" w:rsidRDefault="00753FD5" w:rsidP="00753FD5">
      <w:pPr>
        <w:spacing w:after="0" w:line="240" w:lineRule="auto"/>
      </w:pPr>
    </w:p>
    <w:p w14:paraId="7AA043A4" w14:textId="77777777" w:rsidR="00753FD5" w:rsidRDefault="00753FD5" w:rsidP="00753FD5">
      <w:pPr>
        <w:spacing w:after="0" w:line="240" w:lineRule="auto"/>
      </w:pPr>
      <w:r>
        <w:t>In this case, an individual attended the 2022 Kentucky Derby in Louisville, Kentucky, with a group to engage in expressive activities such as preaching, distributing literature, and displaying signs near the event. The area surrounding Churchill Downs was subject to a special event permit issued by the city government, which allowed Churchill Downs to restrict access to certain public streets and sidewalks to ticket holders and credentialed individuals. The plaintiff and his group entered a fenced-off, restricted area beyond posted “No Trespassing” signs, despite lacking event tickets or credentials. After repeated warnings from private security and law enforcement, the plaintiff was arrested by a Kentucky State Police trooper for criminal trespass.</w:t>
      </w:r>
    </w:p>
    <w:p w14:paraId="714FF68B" w14:textId="77777777" w:rsidR="00753FD5" w:rsidRDefault="00753FD5" w:rsidP="00753FD5">
      <w:pPr>
        <w:spacing w:after="0" w:line="240" w:lineRule="auto"/>
      </w:pPr>
    </w:p>
    <w:p w14:paraId="23B21807" w14:textId="77777777" w:rsidR="00753FD5" w:rsidRDefault="00753FD5" w:rsidP="00753FD5">
      <w:pPr>
        <w:spacing w:after="0" w:line="240" w:lineRule="auto"/>
      </w:pPr>
      <w:r>
        <w:t>The plaintiff filed suit in the United States District Court for the Western District of Kentucky, asserting claims under 42 U.S.C. § 1983 for violations of his free speech, free exercise, and due process rights, as well as a Monell municipal liability claim against the city government and claims against the arresting officer. The district court granted summary judgment in favor of the defendants on all claims. It found the free speech restriction content-neutral and justified under intermediate scrutiny, concluded the free exercise claim was not properly developed, determined the permitting scheme was not unconstitutionally vague, dismissed the Monell claim for lack of an underlying constitutional violation, and granted qualified immunity to the arresting officer.</w:t>
      </w:r>
    </w:p>
    <w:p w14:paraId="02507CD1" w14:textId="77777777" w:rsidR="00753FD5" w:rsidRDefault="00753FD5" w:rsidP="00753FD5">
      <w:pPr>
        <w:spacing w:after="0" w:line="240" w:lineRule="auto"/>
      </w:pPr>
    </w:p>
    <w:p w14:paraId="385D47A7" w14:textId="64D12136" w:rsidR="00753FD5" w:rsidRDefault="00753FD5" w:rsidP="00753FD5">
      <w:pPr>
        <w:spacing w:after="0" w:line="240" w:lineRule="auto"/>
      </w:pPr>
      <w:r>
        <w:t>On appeal, the United States Court of Appeals for the Sixth Circuit affirmed the district court’s judgment. The appellate court held that the restricted area was a limited public forum and the ticketing and access restrictions were content-neutral and survived intermediate scrutiny. The court found no evidence of viewpoint discrimination, held that ample alternative channels for communication existed, and determined that the plaintiff failed to preserve his free exercise claim and did not establish a due process violation. The Monell claim failed for lack of a constitutional violation, and qualified immunity was properly granted to the officer.</w:t>
      </w:r>
    </w:p>
    <w:p w14:paraId="5BB3130D" w14:textId="77777777" w:rsidR="00753FD5" w:rsidRDefault="00753FD5" w:rsidP="00753FD5">
      <w:pPr>
        <w:spacing w:after="0" w:line="240" w:lineRule="auto"/>
      </w:pPr>
    </w:p>
    <w:p w14:paraId="0514D9D9" w14:textId="6C32AB94" w:rsidR="00753FD5" w:rsidRDefault="00753FD5" w:rsidP="00753FD5">
      <w:pPr>
        <w:spacing w:after="0" w:line="240" w:lineRule="auto"/>
      </w:pPr>
      <w:hyperlink r:id="rId6" w:history="1">
        <w:r w:rsidRPr="00DC2E4A">
          <w:rPr>
            <w:rStyle w:val="Hyperlink"/>
          </w:rPr>
          <w:t>https://cases.justia.com/federal/appellate-courts/ca6/25-5014/25-5014-2025-12-16.pdf</w:t>
        </w:r>
      </w:hyperlink>
      <w:r>
        <w:t xml:space="preserve"> </w:t>
      </w:r>
    </w:p>
    <w:p w14:paraId="1FC8A230" w14:textId="77777777" w:rsidR="00753FD5" w:rsidRDefault="00753FD5" w:rsidP="00753FD5">
      <w:pPr>
        <w:spacing w:after="0" w:line="240" w:lineRule="auto"/>
      </w:pPr>
    </w:p>
    <w:p w14:paraId="5BC9B5FC" w14:textId="645759E3" w:rsidR="00753FD5" w:rsidRDefault="00753FD5">
      <w:r>
        <w:br w:type="page"/>
      </w:r>
    </w:p>
    <w:p w14:paraId="75C939DC" w14:textId="77777777" w:rsidR="00753FD5" w:rsidRPr="00753FD5" w:rsidRDefault="00753FD5" w:rsidP="00753FD5">
      <w:pPr>
        <w:spacing w:after="0" w:line="240" w:lineRule="auto"/>
        <w:rPr>
          <w:b/>
          <w:bCs/>
        </w:rPr>
      </w:pPr>
      <w:proofErr w:type="spellStart"/>
      <w:r w:rsidRPr="00753FD5">
        <w:rPr>
          <w:b/>
          <w:bCs/>
        </w:rPr>
        <w:lastRenderedPageBreak/>
        <w:t>Hehrer</w:t>
      </w:r>
      <w:proofErr w:type="spellEnd"/>
      <w:r w:rsidRPr="00753FD5">
        <w:rPr>
          <w:b/>
          <w:bCs/>
        </w:rPr>
        <w:t xml:space="preserve"> v. County of Clinton</w:t>
      </w:r>
    </w:p>
    <w:p w14:paraId="5EA49693" w14:textId="677FEE38" w:rsidR="00753FD5" w:rsidRDefault="00753FD5" w:rsidP="00753FD5">
      <w:pPr>
        <w:spacing w:after="0" w:line="240" w:lineRule="auto"/>
      </w:pPr>
      <w:r>
        <w:t>U.S. Court of Appeals for the Sixth Circuit</w:t>
      </w:r>
    </w:p>
    <w:p w14:paraId="62C320CD" w14:textId="3675201E" w:rsidR="00753FD5" w:rsidRDefault="00753FD5" w:rsidP="00753FD5">
      <w:pPr>
        <w:spacing w:after="0" w:line="240" w:lineRule="auto"/>
      </w:pPr>
      <w:r>
        <w:t>24-2016</w:t>
      </w:r>
    </w:p>
    <w:p w14:paraId="6FB70754" w14:textId="465DF13F" w:rsidR="00753FD5" w:rsidRDefault="00753FD5" w:rsidP="00753FD5">
      <w:pPr>
        <w:spacing w:after="0" w:line="240" w:lineRule="auto"/>
      </w:pPr>
      <w:r>
        <w:t>December 12, 2025</w:t>
      </w:r>
    </w:p>
    <w:p w14:paraId="5BA11FEB" w14:textId="77777777" w:rsidR="00753FD5" w:rsidRDefault="00753FD5" w:rsidP="00753FD5">
      <w:pPr>
        <w:spacing w:after="0" w:line="240" w:lineRule="auto"/>
      </w:pPr>
    </w:p>
    <w:p w14:paraId="0C718939" w14:textId="15248C57" w:rsidR="00753FD5" w:rsidRPr="00753FD5" w:rsidRDefault="00753FD5" w:rsidP="00753FD5">
      <w:pPr>
        <w:spacing w:after="0" w:line="240" w:lineRule="auto"/>
        <w:rPr>
          <w:i/>
          <w:iCs/>
        </w:rPr>
      </w:pPr>
      <w:r w:rsidRPr="00753FD5">
        <w:rPr>
          <w:i/>
          <w:iCs/>
        </w:rPr>
        <w:t>Summary: C</w:t>
      </w:r>
      <w:r w:rsidRPr="00753FD5">
        <w:rPr>
          <w:i/>
          <w:iCs/>
        </w:rPr>
        <w:t xml:space="preserve">orrections officers acted reasonably by deferring to medical staff and </w:t>
      </w:r>
      <w:r w:rsidRPr="00753FD5">
        <w:rPr>
          <w:i/>
          <w:iCs/>
        </w:rPr>
        <w:t xml:space="preserve">therefore </w:t>
      </w:r>
      <w:r w:rsidRPr="00753FD5">
        <w:rPr>
          <w:i/>
          <w:iCs/>
        </w:rPr>
        <w:t>did not act with deliberate indifference</w:t>
      </w:r>
      <w:r w:rsidRPr="00753FD5">
        <w:rPr>
          <w:i/>
          <w:iCs/>
        </w:rPr>
        <w:t xml:space="preserve"> to inmate’s medical condition.</w:t>
      </w:r>
    </w:p>
    <w:p w14:paraId="7AA9FD43" w14:textId="77777777" w:rsidR="00753FD5" w:rsidRDefault="00753FD5" w:rsidP="00753FD5">
      <w:pPr>
        <w:spacing w:after="0" w:line="240" w:lineRule="auto"/>
      </w:pPr>
    </w:p>
    <w:p w14:paraId="6665DDF6" w14:textId="77777777" w:rsidR="00753FD5" w:rsidRDefault="00753FD5" w:rsidP="00753FD5">
      <w:pPr>
        <w:spacing w:after="0" w:line="240" w:lineRule="auto"/>
      </w:pPr>
      <w:r>
        <w:t xml:space="preserve">Joseph </w:t>
      </w:r>
      <w:proofErr w:type="spellStart"/>
      <w:r>
        <w:t>Hehrer</w:t>
      </w:r>
      <w:proofErr w:type="spellEnd"/>
      <w:r>
        <w:t xml:space="preserve"> was detained in the Clinton County Jail in Michigan following charges related to operating a vehicle under the influence and a probation violation. While in custody, </w:t>
      </w:r>
      <w:proofErr w:type="spellStart"/>
      <w:r>
        <w:t>Hehrer</w:t>
      </w:r>
      <w:proofErr w:type="spellEnd"/>
      <w:r>
        <w:t xml:space="preserve"> began to exhibit symptoms of illness, including vomiting and abdominal pain. Over four days, jail medical staff evaluated him multiple times but failed to diagnose his underlying diabetes. Despite continued deterioration, corrections officers deferred to the medical professionals’ judgment and followed their instructions. </w:t>
      </w:r>
      <w:proofErr w:type="spellStart"/>
      <w:r>
        <w:t>Hehrer’s</w:t>
      </w:r>
      <w:proofErr w:type="spellEnd"/>
      <w:r>
        <w:t xml:space="preserve"> condition worsened until he was transported to a hospital, where he died from diabetic ketoacidosis.</w:t>
      </w:r>
    </w:p>
    <w:p w14:paraId="6D01127C" w14:textId="77777777" w:rsidR="00753FD5" w:rsidRDefault="00753FD5" w:rsidP="00753FD5">
      <w:pPr>
        <w:spacing w:after="0" w:line="240" w:lineRule="auto"/>
      </w:pPr>
    </w:p>
    <w:p w14:paraId="5D2F235E" w14:textId="77777777" w:rsidR="00753FD5" w:rsidRDefault="00753FD5" w:rsidP="00753FD5">
      <w:pPr>
        <w:spacing w:after="0" w:line="240" w:lineRule="auto"/>
      </w:pPr>
      <w:r>
        <w:t>The United States District Court for the Western District of Michigan reviewed the estate’s claims, which included federal claims under 42 U.S.C. § 1983 against the county and its officers for deliberate indifference to medical needs, as well as a Monell claim for failure to train. The estate also brought state-law claims against the contracted medical provider and its staff. A magistrate judge recommended granting summary judgment to the county and its officials on the federal claims, finding no deliberate indifference or Monell liability, and advised declining supplemental jurisdiction over the state-law claims. The district court adopted these recommendations and entered final judgment for the defendants.</w:t>
      </w:r>
    </w:p>
    <w:p w14:paraId="746CC4F5" w14:textId="77777777" w:rsidR="00753FD5" w:rsidRDefault="00753FD5" w:rsidP="00753FD5">
      <w:pPr>
        <w:spacing w:after="0" w:line="240" w:lineRule="auto"/>
      </w:pPr>
    </w:p>
    <w:p w14:paraId="06205566" w14:textId="0BCCD5DB" w:rsidR="00753FD5" w:rsidRDefault="00753FD5" w:rsidP="00753FD5">
      <w:pPr>
        <w:spacing w:after="0" w:line="240" w:lineRule="auto"/>
      </w:pPr>
      <w:r>
        <w:t>On appeal, the United States Court of Appeals for the Sixth Circuit affirmed the district court’s decision. The Sixth Circuit held that the corrections officers acted reasonably by deferring to medical staff and did not act with deliberate indifference under the applicable Fourteenth Amendment standard. The court further held that the estate failed to show a pattern or obvious need for additional training to support Monell liability. Finally, the Sixth Circuit found no abuse of discretion in declining supplemental jurisdiction over the state-law claims after dismissing the federal claims.</w:t>
      </w:r>
    </w:p>
    <w:p w14:paraId="51684B10" w14:textId="77777777" w:rsidR="00753FD5" w:rsidRDefault="00753FD5" w:rsidP="00753FD5">
      <w:pPr>
        <w:spacing w:after="0" w:line="240" w:lineRule="auto"/>
      </w:pPr>
    </w:p>
    <w:p w14:paraId="147C2520" w14:textId="650C4F7E" w:rsidR="00753FD5" w:rsidRDefault="0080634D" w:rsidP="00753FD5">
      <w:pPr>
        <w:spacing w:after="0" w:line="240" w:lineRule="auto"/>
      </w:pPr>
      <w:hyperlink r:id="rId7" w:history="1">
        <w:r w:rsidRPr="00DC2E4A">
          <w:rPr>
            <w:rStyle w:val="Hyperlink"/>
          </w:rPr>
          <w:t>https://cases.justia.com/federal/appellate-courts/ca6/24-2016/24-2016-2025-12-12.pdf</w:t>
        </w:r>
      </w:hyperlink>
      <w:r>
        <w:t xml:space="preserve"> </w:t>
      </w:r>
    </w:p>
    <w:p w14:paraId="0A394566" w14:textId="77777777" w:rsidR="0080634D" w:rsidRDefault="0080634D" w:rsidP="00753FD5">
      <w:pPr>
        <w:spacing w:after="0" w:line="240" w:lineRule="auto"/>
      </w:pPr>
    </w:p>
    <w:p w14:paraId="67119B43" w14:textId="297E5A71" w:rsidR="0080634D" w:rsidRDefault="0080634D">
      <w:r>
        <w:br w:type="page"/>
      </w:r>
    </w:p>
    <w:p w14:paraId="0C7FEC95" w14:textId="77777777" w:rsidR="0080634D" w:rsidRPr="0080634D" w:rsidRDefault="0080634D" w:rsidP="0080634D">
      <w:pPr>
        <w:spacing w:after="0" w:line="240" w:lineRule="auto"/>
        <w:rPr>
          <w:b/>
          <w:bCs/>
        </w:rPr>
      </w:pPr>
      <w:r w:rsidRPr="0080634D">
        <w:rPr>
          <w:b/>
          <w:bCs/>
        </w:rPr>
        <w:lastRenderedPageBreak/>
        <w:t>Poynter v. Bennett</w:t>
      </w:r>
    </w:p>
    <w:p w14:paraId="00B0762E" w14:textId="204AC805" w:rsidR="0080634D" w:rsidRDefault="0080634D" w:rsidP="0080634D">
      <w:pPr>
        <w:spacing w:after="0" w:line="240" w:lineRule="auto"/>
      </w:pPr>
      <w:r>
        <w:t>U.S. Court of Appeals for the Sixth Circuit</w:t>
      </w:r>
    </w:p>
    <w:p w14:paraId="377529B4" w14:textId="3640B432" w:rsidR="0080634D" w:rsidRDefault="0080634D" w:rsidP="0080634D">
      <w:pPr>
        <w:spacing w:after="0" w:line="240" w:lineRule="auto"/>
      </w:pPr>
      <w:r>
        <w:t>25-5188</w:t>
      </w:r>
    </w:p>
    <w:p w14:paraId="023CFB5A" w14:textId="4B80EB7E" w:rsidR="0080634D" w:rsidRDefault="0080634D" w:rsidP="0080634D">
      <w:pPr>
        <w:spacing w:after="0" w:line="240" w:lineRule="auto"/>
      </w:pPr>
      <w:r>
        <w:t>December 17, 2025</w:t>
      </w:r>
    </w:p>
    <w:p w14:paraId="78836FF4" w14:textId="77777777" w:rsidR="0080634D" w:rsidRDefault="0080634D" w:rsidP="0080634D">
      <w:pPr>
        <w:spacing w:after="0" w:line="240" w:lineRule="auto"/>
      </w:pPr>
    </w:p>
    <w:p w14:paraId="3A97FD0C" w14:textId="06AE732B" w:rsidR="0080634D" w:rsidRPr="0080634D" w:rsidRDefault="0080634D" w:rsidP="0080634D">
      <w:pPr>
        <w:spacing w:after="0" w:line="240" w:lineRule="auto"/>
        <w:rPr>
          <w:i/>
          <w:iCs/>
        </w:rPr>
      </w:pPr>
      <w:r w:rsidRPr="0080634D">
        <w:rPr>
          <w:i/>
          <w:iCs/>
        </w:rPr>
        <w:t>Summary: A</w:t>
      </w:r>
      <w:r w:rsidRPr="0080634D">
        <w:rPr>
          <w:i/>
          <w:iCs/>
        </w:rPr>
        <w:t xml:space="preserve"> reasonable jury to find </w:t>
      </w:r>
      <w:r w:rsidRPr="0080634D">
        <w:rPr>
          <w:i/>
          <w:iCs/>
        </w:rPr>
        <w:t>c</w:t>
      </w:r>
      <w:r w:rsidRPr="0080634D">
        <w:rPr>
          <w:i/>
          <w:iCs/>
        </w:rPr>
        <w:t>ounty had a custom of failing to properly classify detainees with violent histories</w:t>
      </w:r>
      <w:r w:rsidRPr="0080634D">
        <w:rPr>
          <w:i/>
          <w:iCs/>
        </w:rPr>
        <w:t xml:space="preserve"> and</w:t>
      </w:r>
      <w:r w:rsidRPr="0080634D">
        <w:rPr>
          <w:i/>
          <w:iCs/>
        </w:rPr>
        <w:t xml:space="preserve"> recklessly disregarded a known risk</w:t>
      </w:r>
      <w:r w:rsidRPr="0080634D">
        <w:rPr>
          <w:i/>
          <w:iCs/>
        </w:rPr>
        <w:t>.</w:t>
      </w:r>
    </w:p>
    <w:p w14:paraId="73D38E99" w14:textId="77777777" w:rsidR="0080634D" w:rsidRDefault="0080634D" w:rsidP="0080634D">
      <w:pPr>
        <w:spacing w:after="0" w:line="240" w:lineRule="auto"/>
      </w:pPr>
    </w:p>
    <w:p w14:paraId="16126A3D" w14:textId="77777777" w:rsidR="0080634D" w:rsidRDefault="0080634D" w:rsidP="0080634D">
      <w:pPr>
        <w:spacing w:after="0" w:line="240" w:lineRule="auto"/>
      </w:pPr>
      <w:r>
        <w:t xml:space="preserve">Luther Poynter was incarcerated at the Barren County Detention Center in Kentucky for contempt of court related to unpaid child support. After a brief period in COVID-19 observation, he was moved to a general-population cell with two other detainees, Scotty </w:t>
      </w:r>
      <w:proofErr w:type="spellStart"/>
      <w:r>
        <w:t>Wix</w:t>
      </w:r>
      <w:proofErr w:type="spellEnd"/>
      <w:r>
        <w:t xml:space="preserve"> and Timothy Guess. Both </w:t>
      </w:r>
      <w:proofErr w:type="spellStart"/>
      <w:r>
        <w:t>Wix</w:t>
      </w:r>
      <w:proofErr w:type="spellEnd"/>
      <w:r>
        <w:t xml:space="preserve"> and Guess had extensive histories of violent behavior and multiple documented assaults against other detainees while in the facility. Shortly after Poynter entered the cell, Guess and </w:t>
      </w:r>
      <w:proofErr w:type="spellStart"/>
      <w:r>
        <w:t>Wix</w:t>
      </w:r>
      <w:proofErr w:type="spellEnd"/>
      <w:r>
        <w:t xml:space="preserve"> attacked him without apparent provocation, causing a traumatic brain injury and lasting physical impairment.</w:t>
      </w:r>
    </w:p>
    <w:p w14:paraId="5B8253F1" w14:textId="77777777" w:rsidR="0080634D" w:rsidRDefault="0080634D" w:rsidP="0080634D">
      <w:pPr>
        <w:spacing w:after="0" w:line="240" w:lineRule="auto"/>
      </w:pPr>
    </w:p>
    <w:p w14:paraId="31DB1DB7" w14:textId="77777777" w:rsidR="0080634D" w:rsidRDefault="0080634D" w:rsidP="0080634D">
      <w:pPr>
        <w:spacing w:after="0" w:line="240" w:lineRule="auto"/>
      </w:pPr>
      <w:r>
        <w:t>The United States District Court for the Western District of Kentucky reviewed the case after Poynter, through his guardian, sued the jailer and Barren County under 42 U.S.C. § 1983, alleging deliberate indifference to his safety in violation of the Due Process Clause of the Fourteenth Amendment. The district court granted summary judgment to the county, concluding there was insufficient evidence of a constitutional violation or municipal liability, and held that Poynter had not shown he was placed at a substantial risk of harm or that reasonable steps were not taken to abate that risk.</w:t>
      </w:r>
    </w:p>
    <w:p w14:paraId="3E0FD52A" w14:textId="77777777" w:rsidR="0080634D" w:rsidRDefault="0080634D" w:rsidP="0080634D">
      <w:pPr>
        <w:spacing w:after="0" w:line="240" w:lineRule="auto"/>
      </w:pPr>
    </w:p>
    <w:p w14:paraId="6F60799D" w14:textId="00718461" w:rsidR="0080634D" w:rsidRDefault="0080634D" w:rsidP="0080634D">
      <w:pPr>
        <w:spacing w:after="0" w:line="240" w:lineRule="auto"/>
      </w:pPr>
      <w:r>
        <w:t>On appeal, the United States Court of Appeals for the Sixth Circuit reviewed the district court’s decision. The appellate court held that Poynter had presented sufficient evidence for a reasonable jury to find that Barren County had a custom of failing to properly classify detainees with violent histories, recklessly disregarded a known risk, and that this failure caused Poynter’s injuries. The Sixth Circuit clarified that municipal liability can attach even without identifying a specific individual as the violator, so long as the unconstitutional harm resulted from a municipal policy or custom. The Court of Appeals reversed the district court’s summary judgment and remanded the case for further proceedings.</w:t>
      </w:r>
    </w:p>
    <w:p w14:paraId="1E1D7B5F" w14:textId="77777777" w:rsidR="0080634D" w:rsidRDefault="0080634D" w:rsidP="0080634D">
      <w:pPr>
        <w:spacing w:after="0" w:line="240" w:lineRule="auto"/>
      </w:pPr>
    </w:p>
    <w:p w14:paraId="2227D90C" w14:textId="287845ED" w:rsidR="0080634D" w:rsidRDefault="0080634D" w:rsidP="0080634D">
      <w:pPr>
        <w:spacing w:after="0" w:line="240" w:lineRule="auto"/>
      </w:pPr>
      <w:hyperlink r:id="rId8" w:history="1">
        <w:r w:rsidRPr="00DC2E4A">
          <w:rPr>
            <w:rStyle w:val="Hyperlink"/>
          </w:rPr>
          <w:t>https://cases.justia.com/federal/appellate-courts/ca6/25-5188/25-5188-2025-12-17.pd</w:t>
        </w:r>
        <w:r w:rsidRPr="00DC2E4A">
          <w:rPr>
            <w:rStyle w:val="Hyperlink"/>
          </w:rPr>
          <w:t>f</w:t>
        </w:r>
      </w:hyperlink>
      <w:r>
        <w:t xml:space="preserve"> </w:t>
      </w:r>
    </w:p>
    <w:p w14:paraId="319D10A7" w14:textId="77777777" w:rsidR="0080634D" w:rsidRDefault="0080634D" w:rsidP="0080634D">
      <w:pPr>
        <w:spacing w:after="0" w:line="240" w:lineRule="auto"/>
      </w:pPr>
    </w:p>
    <w:p w14:paraId="6C814838" w14:textId="4376CD44" w:rsidR="001612AE" w:rsidRDefault="001612AE">
      <w:r>
        <w:br w:type="page"/>
      </w:r>
    </w:p>
    <w:p w14:paraId="3D7D61CD" w14:textId="77777777" w:rsidR="001612AE" w:rsidRPr="001612AE" w:rsidRDefault="001612AE" w:rsidP="001612AE">
      <w:pPr>
        <w:spacing w:after="0" w:line="240" w:lineRule="auto"/>
        <w:rPr>
          <w:b/>
          <w:bCs/>
        </w:rPr>
      </w:pPr>
      <w:r w:rsidRPr="001612AE">
        <w:rPr>
          <w:b/>
          <w:bCs/>
        </w:rPr>
        <w:lastRenderedPageBreak/>
        <w:t>United States v. Santos</w:t>
      </w:r>
    </w:p>
    <w:p w14:paraId="27F1E9E2" w14:textId="3906C3B4" w:rsidR="001612AE" w:rsidRDefault="001612AE" w:rsidP="001612AE">
      <w:pPr>
        <w:spacing w:after="0" w:line="240" w:lineRule="auto"/>
      </w:pPr>
      <w:r>
        <w:t>U.S. Court of Appeals for the Sixth Circuit</w:t>
      </w:r>
    </w:p>
    <w:p w14:paraId="35E10B64" w14:textId="2123F803" w:rsidR="001612AE" w:rsidRDefault="001612AE" w:rsidP="001612AE">
      <w:pPr>
        <w:spacing w:after="0" w:line="240" w:lineRule="auto"/>
      </w:pPr>
      <w:r>
        <w:t>25-1051</w:t>
      </w:r>
    </w:p>
    <w:p w14:paraId="3A692AF6" w14:textId="759D3E60" w:rsidR="001612AE" w:rsidRDefault="001612AE" w:rsidP="001612AE">
      <w:pPr>
        <w:spacing w:after="0" w:line="240" w:lineRule="auto"/>
      </w:pPr>
      <w:r>
        <w:t>December 16, 2025</w:t>
      </w:r>
    </w:p>
    <w:p w14:paraId="6FA1FD53" w14:textId="77777777" w:rsidR="001612AE" w:rsidRDefault="001612AE" w:rsidP="001612AE">
      <w:pPr>
        <w:spacing w:after="0" w:line="240" w:lineRule="auto"/>
      </w:pPr>
    </w:p>
    <w:p w14:paraId="271F9CA9" w14:textId="103DDD79" w:rsidR="001612AE" w:rsidRPr="001612AE" w:rsidRDefault="001612AE" w:rsidP="001612AE">
      <w:pPr>
        <w:spacing w:after="0" w:line="240" w:lineRule="auto"/>
        <w:rPr>
          <w:i/>
          <w:iCs/>
        </w:rPr>
      </w:pPr>
      <w:r w:rsidRPr="001612AE">
        <w:rPr>
          <w:i/>
          <w:iCs/>
        </w:rPr>
        <w:t xml:space="preserve">Summary: </w:t>
      </w:r>
      <w:r w:rsidRPr="001612AE">
        <w:rPr>
          <w:i/>
          <w:iCs/>
        </w:rPr>
        <w:t>T</w:t>
      </w:r>
      <w:r w:rsidRPr="001612AE">
        <w:rPr>
          <w:i/>
          <w:iCs/>
        </w:rPr>
        <w:t>raffic</w:t>
      </w:r>
      <w:r w:rsidRPr="001612AE">
        <w:rPr>
          <w:i/>
          <w:iCs/>
        </w:rPr>
        <w:t xml:space="preserve"> stop was lawfu</w:t>
      </w:r>
      <w:r w:rsidRPr="001612AE">
        <w:rPr>
          <w:i/>
          <w:iCs/>
        </w:rPr>
        <w:t>l</w:t>
      </w:r>
      <w:r w:rsidRPr="001612AE">
        <w:rPr>
          <w:i/>
          <w:iCs/>
        </w:rPr>
        <w:t xml:space="preserve"> and the questions and actions taken by the officer, including the removal of both occupants and the frisk of </w:t>
      </w:r>
      <w:r>
        <w:rPr>
          <w:i/>
          <w:iCs/>
        </w:rPr>
        <w:t>passenge</w:t>
      </w:r>
      <w:r w:rsidRPr="001612AE">
        <w:rPr>
          <w:i/>
          <w:iCs/>
        </w:rPr>
        <w:t>r</w:t>
      </w:r>
      <w:r>
        <w:rPr>
          <w:i/>
          <w:iCs/>
        </w:rPr>
        <w:t xml:space="preserve">’s bag </w:t>
      </w:r>
      <w:r w:rsidRPr="001612AE">
        <w:rPr>
          <w:i/>
          <w:iCs/>
        </w:rPr>
        <w:t>were</w:t>
      </w:r>
      <w:r w:rsidRPr="001612AE">
        <w:rPr>
          <w:i/>
          <w:iCs/>
        </w:rPr>
        <w:t xml:space="preserve"> </w:t>
      </w:r>
      <w:r>
        <w:rPr>
          <w:i/>
          <w:iCs/>
        </w:rPr>
        <w:t>lawful</w:t>
      </w:r>
      <w:r w:rsidRPr="001612AE">
        <w:rPr>
          <w:i/>
          <w:iCs/>
        </w:rPr>
        <w:t>.</w:t>
      </w:r>
    </w:p>
    <w:p w14:paraId="02C9C528" w14:textId="77777777" w:rsidR="001612AE" w:rsidRDefault="001612AE" w:rsidP="001612AE">
      <w:pPr>
        <w:spacing w:after="0" w:line="240" w:lineRule="auto"/>
      </w:pPr>
    </w:p>
    <w:p w14:paraId="119D4722" w14:textId="77777777" w:rsidR="001612AE" w:rsidRDefault="001612AE" w:rsidP="001612AE">
      <w:pPr>
        <w:spacing w:after="0" w:line="240" w:lineRule="auto"/>
      </w:pPr>
      <w:r>
        <w:t>A Michigan State Trooper conducted a traffic stop after observing a vehicle with expired registration. The passenger, Adam Santos, was identified as a convicted felon, currently on probation, and flagged in police databases as possibly armed and dangerous. During the stop, the trooper noticed Santos acting nervously and avoiding searching a cross-body bag when asked for identification. After obtaining the driver’s consent to search the vehicle, the trooper removed both occupants from the car for safety. While frisking Santos, the trooper felt a weight in the bag consistent with a firearm. A struggle ensued when the trooper attempted to open the bag, and a gun was recovered. Santos was indicted for unlawful possession of a firearm by a felon.</w:t>
      </w:r>
    </w:p>
    <w:p w14:paraId="59BE8E49" w14:textId="77777777" w:rsidR="001612AE" w:rsidRDefault="001612AE" w:rsidP="001612AE">
      <w:pPr>
        <w:spacing w:after="0" w:line="240" w:lineRule="auto"/>
      </w:pPr>
    </w:p>
    <w:p w14:paraId="7E657A6E" w14:textId="77777777" w:rsidR="001612AE" w:rsidRDefault="001612AE" w:rsidP="001612AE">
      <w:pPr>
        <w:spacing w:after="0" w:line="240" w:lineRule="auto"/>
      </w:pPr>
      <w:r>
        <w:t>The United States District Court for the Western District of Michigan denied Santos’s motion to suppress the gun, finding that the officer’s actions were justified by concerns for safety and that the driver voluntarily consented to the vehicle search. The court also found the frisk of Santos and the subsequent search of the bag permissible, given the reasonable suspicion and probable cause developed during the stop.</w:t>
      </w:r>
    </w:p>
    <w:p w14:paraId="1616CE17" w14:textId="77777777" w:rsidR="001612AE" w:rsidRDefault="001612AE" w:rsidP="001612AE">
      <w:pPr>
        <w:spacing w:after="0" w:line="240" w:lineRule="auto"/>
      </w:pPr>
    </w:p>
    <w:p w14:paraId="3FAD8CE9" w14:textId="03ED1336" w:rsidR="0080634D" w:rsidRDefault="001612AE" w:rsidP="001612AE">
      <w:pPr>
        <w:spacing w:after="0" w:line="240" w:lineRule="auto"/>
      </w:pPr>
      <w:r>
        <w:t>On appeal, the United States Court of Appeals for the Sixth Circuit reviewed the district court’s legal conclusions de novo and its factual findings for clear error. The appellate court held that the trooper did not violate Santos’s Fourth Amendment rights. The stop was lawfully initiated, and the questions and actions taken by the officer, including the removal of both occupants and the frisk of Santos, were justified by safety concerns based on specific, articulable facts. The court affirmed the district court’s denial of the suppression motion, holding that neither the duration nor the scope of the stop nor the search of Santos’s bag was unconstitutional.</w:t>
      </w:r>
    </w:p>
    <w:p w14:paraId="22B54CA7" w14:textId="77777777" w:rsidR="001612AE" w:rsidRDefault="001612AE" w:rsidP="001612AE">
      <w:pPr>
        <w:spacing w:after="0" w:line="240" w:lineRule="auto"/>
      </w:pPr>
    </w:p>
    <w:p w14:paraId="6013CCE3" w14:textId="178B9D0F" w:rsidR="001612AE" w:rsidRDefault="00856797" w:rsidP="001612AE">
      <w:pPr>
        <w:spacing w:after="0" w:line="240" w:lineRule="auto"/>
      </w:pPr>
      <w:hyperlink r:id="rId9" w:history="1">
        <w:r w:rsidRPr="00DC2E4A">
          <w:rPr>
            <w:rStyle w:val="Hyperlink"/>
          </w:rPr>
          <w:t>https://cases.justia.com/federal/appellate-courts/ca6/25-1051/25-1051-2025-12-16.pdf</w:t>
        </w:r>
      </w:hyperlink>
      <w:r>
        <w:t xml:space="preserve"> </w:t>
      </w:r>
    </w:p>
    <w:p w14:paraId="5C6769DE" w14:textId="77777777" w:rsidR="00856797" w:rsidRDefault="00856797" w:rsidP="001612AE">
      <w:pPr>
        <w:spacing w:after="0" w:line="240" w:lineRule="auto"/>
      </w:pPr>
    </w:p>
    <w:p w14:paraId="13BF7968" w14:textId="33A152F0" w:rsidR="00856797" w:rsidRDefault="00856797">
      <w:r>
        <w:br w:type="page"/>
      </w:r>
    </w:p>
    <w:p w14:paraId="569617C8" w14:textId="77777777" w:rsidR="00856797" w:rsidRPr="00856797" w:rsidRDefault="00856797" w:rsidP="00856797">
      <w:pPr>
        <w:spacing w:after="0" w:line="240" w:lineRule="auto"/>
        <w:rPr>
          <w:b/>
          <w:bCs/>
        </w:rPr>
      </w:pPr>
      <w:r w:rsidRPr="00856797">
        <w:rPr>
          <w:b/>
          <w:bCs/>
        </w:rPr>
        <w:lastRenderedPageBreak/>
        <w:t>Cheeks v. Belmar</w:t>
      </w:r>
    </w:p>
    <w:p w14:paraId="4C000C87" w14:textId="42BDB85D" w:rsidR="00856797" w:rsidRDefault="00856797" w:rsidP="00856797">
      <w:pPr>
        <w:spacing w:after="0" w:line="240" w:lineRule="auto"/>
      </w:pPr>
      <w:r>
        <w:t>U.S. Court of Appeals for the Eighth Circuit</w:t>
      </w:r>
    </w:p>
    <w:p w14:paraId="092A131A" w14:textId="3C25F540" w:rsidR="00856797" w:rsidRDefault="00856797" w:rsidP="00856797">
      <w:pPr>
        <w:spacing w:after="0" w:line="240" w:lineRule="auto"/>
      </w:pPr>
      <w:r>
        <w:t>24-2905</w:t>
      </w:r>
    </w:p>
    <w:p w14:paraId="587DB3E2" w14:textId="4B857832" w:rsidR="00856797" w:rsidRDefault="00856797" w:rsidP="00856797">
      <w:pPr>
        <w:spacing w:after="0" w:line="240" w:lineRule="auto"/>
      </w:pPr>
      <w:r>
        <w:t>December 12, 2025</w:t>
      </w:r>
    </w:p>
    <w:p w14:paraId="696AD75D" w14:textId="77777777" w:rsidR="00856797" w:rsidRDefault="00856797" w:rsidP="00856797">
      <w:pPr>
        <w:spacing w:after="0" w:line="240" w:lineRule="auto"/>
      </w:pPr>
    </w:p>
    <w:p w14:paraId="2A406069" w14:textId="5EDC374B" w:rsidR="00856797" w:rsidRPr="00856797" w:rsidRDefault="00856797" w:rsidP="00856797">
      <w:pPr>
        <w:spacing w:after="0" w:line="240" w:lineRule="auto"/>
        <w:rPr>
          <w:i/>
          <w:iCs/>
        </w:rPr>
      </w:pPr>
      <w:r w:rsidRPr="00856797">
        <w:rPr>
          <w:i/>
          <w:iCs/>
        </w:rPr>
        <w:t xml:space="preserve">Summary: Under Scott v. Harris, the </w:t>
      </w:r>
      <w:r w:rsidRPr="00856797">
        <w:rPr>
          <w:i/>
          <w:iCs/>
        </w:rPr>
        <w:t>use of a PIT maneuver during a dangerous high-speed chase did not constitute excessive force in violation of the Fourth Amendment</w:t>
      </w:r>
      <w:r>
        <w:rPr>
          <w:i/>
          <w:iCs/>
        </w:rPr>
        <w:t>.</w:t>
      </w:r>
    </w:p>
    <w:p w14:paraId="02BF6AC0" w14:textId="77777777" w:rsidR="00856797" w:rsidRDefault="00856797" w:rsidP="00856797">
      <w:pPr>
        <w:spacing w:after="0" w:line="240" w:lineRule="auto"/>
      </w:pPr>
    </w:p>
    <w:p w14:paraId="046F00A0" w14:textId="77777777" w:rsidR="00856797" w:rsidRDefault="00856797" w:rsidP="00856797">
      <w:pPr>
        <w:spacing w:after="0" w:line="240" w:lineRule="auto"/>
      </w:pPr>
      <w:r>
        <w:t>After Mikel Neil fled from a traffic stop initiated by two St. Louis County police officers, a high-speed chase ensued, reaching speeds over ninety miles per hour through a residential area. During the pursuit, one of the officers used a PIT maneuver, causing Neil’s vehicle to crash into a tree, resulting in his death. The officers left the scene without administering aid or calling for assistance and later falsely reported the crash as a single-car incident. Neil’s mother, Clara Cheeks, brought a federal civil rights action under 42 U.S.C. § 1983, alleging that the officers had used excessive force.</w:t>
      </w:r>
    </w:p>
    <w:p w14:paraId="3177A86F" w14:textId="77777777" w:rsidR="00856797" w:rsidRDefault="00856797" w:rsidP="00856797">
      <w:pPr>
        <w:spacing w:after="0" w:line="240" w:lineRule="auto"/>
      </w:pPr>
    </w:p>
    <w:p w14:paraId="56857E89" w14:textId="77777777" w:rsidR="00856797" w:rsidRDefault="00856797" w:rsidP="00856797">
      <w:pPr>
        <w:spacing w:after="0" w:line="240" w:lineRule="auto"/>
      </w:pPr>
      <w:r>
        <w:t xml:space="preserve">The United States District Court for the Eastern District of Missouri dismissed </w:t>
      </w:r>
      <w:proofErr w:type="spellStart"/>
      <w:r>
        <w:t>Cheeks’s</w:t>
      </w:r>
      <w:proofErr w:type="spellEnd"/>
      <w:r>
        <w:t xml:space="preserve"> excessive force claim, finding that the officers were entitled to qualified immunity because the complaint did not sufficiently allege a constitutional violation. Over a year after the dismissal, and after the deadline for amending pleadings had passed, Cheeks sought leave to amend her complaint to revive the excessive force claim. The district court denied the motion, concluding that the proposed amendments would be futile. Cheeks then appealed the dismissal and the denial of leave to amend, after voluntarily dismissing her remaining claim for failure to provide medical aid.</w:t>
      </w:r>
    </w:p>
    <w:p w14:paraId="5A541EA7" w14:textId="77777777" w:rsidR="00856797" w:rsidRDefault="00856797" w:rsidP="00856797">
      <w:pPr>
        <w:spacing w:after="0" w:line="240" w:lineRule="auto"/>
      </w:pPr>
    </w:p>
    <w:p w14:paraId="4EF797F4" w14:textId="6828DCC2" w:rsidR="00856797" w:rsidRDefault="00856797" w:rsidP="00856797">
      <w:pPr>
        <w:spacing w:after="0" w:line="240" w:lineRule="auto"/>
      </w:pPr>
      <w:r>
        <w:t xml:space="preserve">The United States Court of Appeals for the Eighth Circuit reviewed the case and affirmed the district court’s decisions. The Eighth Circuit held that, under the circumstances described in the complaint, the </w:t>
      </w:r>
      <w:bookmarkStart w:id="0" w:name="_Hlk217291915"/>
      <w:r>
        <w:t>use of a PIT maneuver during a dangerous high-speed chase did not constitute excessive force in violation of the Fourth Amendment</w:t>
      </w:r>
      <w:bookmarkEnd w:id="0"/>
      <w:r>
        <w:t>, following precedents such as Scott v. Harris. The court also concluded that the district court did not abuse its discretion in denying leave to amend, because the proposed amendments would not cure the deficiencies in the excessive force claim. The court’s disposition was to affirm the dismissal and denial of leave to amend.</w:t>
      </w:r>
    </w:p>
    <w:p w14:paraId="234033AD" w14:textId="77777777" w:rsidR="00856797" w:rsidRDefault="00856797" w:rsidP="00856797">
      <w:pPr>
        <w:spacing w:after="0" w:line="240" w:lineRule="auto"/>
      </w:pPr>
    </w:p>
    <w:p w14:paraId="5890B78A" w14:textId="4AFA4962" w:rsidR="00856797" w:rsidRDefault="00856797" w:rsidP="00856797">
      <w:pPr>
        <w:spacing w:after="0" w:line="240" w:lineRule="auto"/>
      </w:pPr>
      <w:hyperlink r:id="rId10" w:history="1">
        <w:r w:rsidRPr="004E10E0">
          <w:rPr>
            <w:rStyle w:val="Hyperlink"/>
          </w:rPr>
          <w:t>https://cases.justia.com/federal/appellate-courts/ca8/24-2905/24-2905-2025-12-12.pdf</w:t>
        </w:r>
      </w:hyperlink>
      <w:r>
        <w:t xml:space="preserve"> </w:t>
      </w:r>
    </w:p>
    <w:p w14:paraId="27921A16" w14:textId="77777777" w:rsidR="00856797" w:rsidRDefault="00856797" w:rsidP="00856797">
      <w:pPr>
        <w:spacing w:after="0" w:line="240" w:lineRule="auto"/>
      </w:pPr>
    </w:p>
    <w:p w14:paraId="292EA689" w14:textId="7DB7B05B" w:rsidR="00856797" w:rsidRDefault="00856797">
      <w:r>
        <w:br w:type="page"/>
      </w:r>
    </w:p>
    <w:p w14:paraId="31110D73" w14:textId="77777777" w:rsidR="00384FCA" w:rsidRPr="00384FCA" w:rsidRDefault="00384FCA" w:rsidP="00384FCA">
      <w:pPr>
        <w:spacing w:after="0" w:line="240" w:lineRule="auto"/>
        <w:rPr>
          <w:b/>
          <w:bCs/>
        </w:rPr>
      </w:pPr>
      <w:r w:rsidRPr="00384FCA">
        <w:rPr>
          <w:b/>
          <w:bCs/>
        </w:rPr>
        <w:lastRenderedPageBreak/>
        <w:t>United States v. Clay</w:t>
      </w:r>
    </w:p>
    <w:p w14:paraId="39DC2FB6" w14:textId="77BA6D04" w:rsidR="00384FCA" w:rsidRDefault="00384FCA" w:rsidP="00384FCA">
      <w:pPr>
        <w:spacing w:after="0" w:line="240" w:lineRule="auto"/>
      </w:pPr>
      <w:r>
        <w:t>U.S. Court of Appeals for the Eighth Circuit</w:t>
      </w:r>
    </w:p>
    <w:p w14:paraId="7B9F2AEA" w14:textId="29B53F48" w:rsidR="00384FCA" w:rsidRDefault="00384FCA" w:rsidP="00384FCA">
      <w:pPr>
        <w:spacing w:after="0" w:line="240" w:lineRule="auto"/>
      </w:pPr>
      <w:r>
        <w:t>24-2158</w:t>
      </w:r>
    </w:p>
    <w:p w14:paraId="036A6EA1" w14:textId="157813F5" w:rsidR="00384FCA" w:rsidRDefault="00384FCA" w:rsidP="00384FCA">
      <w:pPr>
        <w:spacing w:after="0" w:line="240" w:lineRule="auto"/>
      </w:pPr>
      <w:r>
        <w:t>December 15, 2025</w:t>
      </w:r>
    </w:p>
    <w:p w14:paraId="2522D5BB" w14:textId="77777777" w:rsidR="00384FCA" w:rsidRDefault="00384FCA" w:rsidP="00384FCA">
      <w:pPr>
        <w:spacing w:after="0" w:line="240" w:lineRule="auto"/>
      </w:pPr>
    </w:p>
    <w:p w14:paraId="4E065542" w14:textId="0C95FC9A" w:rsidR="00384FCA" w:rsidRPr="00617B6C" w:rsidRDefault="00384FCA" w:rsidP="00384FCA">
      <w:pPr>
        <w:spacing w:after="0" w:line="240" w:lineRule="auto"/>
        <w:rPr>
          <w:i/>
          <w:iCs/>
        </w:rPr>
      </w:pPr>
      <w:r w:rsidRPr="00617B6C">
        <w:rPr>
          <w:i/>
          <w:iCs/>
        </w:rPr>
        <w:t xml:space="preserve">Summary: </w:t>
      </w:r>
      <w:r w:rsidR="00617B6C" w:rsidRPr="00617B6C">
        <w:rPr>
          <w:i/>
          <w:iCs/>
        </w:rPr>
        <w:t>The i</w:t>
      </w:r>
      <w:r w:rsidR="00617B6C" w:rsidRPr="00617B6C">
        <w:rPr>
          <w:i/>
          <w:iCs/>
        </w:rPr>
        <w:t>nitial encounter was consensual, the defendant’s consent to search was voluntary, and reasonable suspicion justified the post-flight detention.</w:t>
      </w:r>
    </w:p>
    <w:p w14:paraId="6401A748" w14:textId="77777777" w:rsidR="00384FCA" w:rsidRDefault="00384FCA" w:rsidP="00384FCA">
      <w:pPr>
        <w:spacing w:after="0" w:line="240" w:lineRule="auto"/>
      </w:pPr>
    </w:p>
    <w:p w14:paraId="2E7B5AFC" w14:textId="77777777" w:rsidR="00384FCA" w:rsidRDefault="00384FCA" w:rsidP="00384FCA">
      <w:pPr>
        <w:spacing w:after="0" w:line="240" w:lineRule="auto"/>
      </w:pPr>
      <w:r>
        <w:t>A federal grand jury charged the defendant with possessing methamphetamine with intent to distribute and being a felon in possession of a firearm. Task force officers at a bus station in Omaha, Nebraska identified the defendant’s suitcase as suspicious and removed it from the bus’s luggage compartment. After the defendant claimed and approached his bag, an officer questioned him about his travel plans and requested permission to search the suitcase, which the defendant consented to. The defendant then fled, prompting officers to detain him and search his belongings, ultimately discovering firearms and controlled substances.</w:t>
      </w:r>
    </w:p>
    <w:p w14:paraId="4D5E499E" w14:textId="77777777" w:rsidR="00384FCA" w:rsidRDefault="00384FCA" w:rsidP="00384FCA">
      <w:pPr>
        <w:spacing w:after="0" w:line="240" w:lineRule="auto"/>
      </w:pPr>
    </w:p>
    <w:p w14:paraId="353B0499" w14:textId="77777777" w:rsidR="00384FCA" w:rsidRDefault="00384FCA" w:rsidP="00384FCA">
      <w:pPr>
        <w:spacing w:after="0" w:line="240" w:lineRule="auto"/>
      </w:pPr>
      <w:r>
        <w:t>The defendant moved to suppress the evidence obtained from his suitcase, backpack, and person, arguing that the officers’ actions constituted unlawful searches and seizures under the Fourth Amendment. A magistrate judge recommended denying the suppression motion, concluding that the suitcase was not seized, the initial encounter was consensual, the consent to search was valid, and reasonable suspicion supported the later detention. The United States District Court for the District of Nebraska adopted the recommendation and denied the motion to suppress. At trial, a jury acquitted the defendant of possession with intent to distribute but found him guilty of simple possession and the firearms offense. The district court imposed consecutive sentences totaling 144 months’ imprisonment and a $2,500 fine, the latter without findings about the defendant’s ability to pay.</w:t>
      </w:r>
    </w:p>
    <w:p w14:paraId="342C1F06" w14:textId="77777777" w:rsidR="00384FCA" w:rsidRDefault="00384FCA" w:rsidP="00384FCA">
      <w:pPr>
        <w:spacing w:after="0" w:line="240" w:lineRule="auto"/>
      </w:pPr>
    </w:p>
    <w:p w14:paraId="0AF5840E" w14:textId="1BAF00EC" w:rsidR="00856797" w:rsidRDefault="00384FCA" w:rsidP="00384FCA">
      <w:pPr>
        <w:spacing w:after="0" w:line="240" w:lineRule="auto"/>
      </w:pPr>
      <w:r>
        <w:t>On appeal, the United States Court of Appeals for the Eighth Circuit affirmed the district court’s denial of the suppression motion, holding there was no Fourth Amendment seizure of the suitcase, the initial encounter was consensual, the defendant’s consent to search was voluntary, and reasonable suspicion justified the post-flight detention. The court also affirmed the custodial sentence as substantively reasonable but vacated the fine, remanding for proper findings on the defendant’s ability to pay.</w:t>
      </w:r>
    </w:p>
    <w:p w14:paraId="682D1FA1" w14:textId="77777777" w:rsidR="00617B6C" w:rsidRDefault="00617B6C" w:rsidP="00384FCA">
      <w:pPr>
        <w:spacing w:after="0" w:line="240" w:lineRule="auto"/>
      </w:pPr>
    </w:p>
    <w:p w14:paraId="31A1096E" w14:textId="3BEC3DAF" w:rsidR="00617B6C" w:rsidRDefault="00617B6C" w:rsidP="00384FCA">
      <w:pPr>
        <w:spacing w:after="0" w:line="240" w:lineRule="auto"/>
      </w:pPr>
      <w:hyperlink r:id="rId11" w:history="1">
        <w:r w:rsidRPr="004E10E0">
          <w:rPr>
            <w:rStyle w:val="Hyperlink"/>
          </w:rPr>
          <w:t>https://cases.justia.com/federal/appellate-courts/ca8/24-2158/24-2158-2025-12-15.pdf</w:t>
        </w:r>
      </w:hyperlink>
      <w:r>
        <w:t xml:space="preserve"> </w:t>
      </w:r>
    </w:p>
    <w:p w14:paraId="3A69B0E4" w14:textId="77777777" w:rsidR="00617B6C" w:rsidRDefault="00617B6C" w:rsidP="00384FCA">
      <w:pPr>
        <w:spacing w:after="0" w:line="240" w:lineRule="auto"/>
      </w:pPr>
    </w:p>
    <w:p w14:paraId="2820286B" w14:textId="74BB55E1" w:rsidR="00617B6C" w:rsidRDefault="00617B6C">
      <w:r>
        <w:br w:type="page"/>
      </w:r>
    </w:p>
    <w:p w14:paraId="0F57539C" w14:textId="77777777" w:rsidR="00617B6C" w:rsidRPr="00617B6C" w:rsidRDefault="00617B6C" w:rsidP="00617B6C">
      <w:pPr>
        <w:spacing w:after="0" w:line="240" w:lineRule="auto"/>
        <w:rPr>
          <w:b/>
          <w:bCs/>
        </w:rPr>
      </w:pPr>
      <w:r w:rsidRPr="00617B6C">
        <w:rPr>
          <w:b/>
          <w:bCs/>
        </w:rPr>
        <w:lastRenderedPageBreak/>
        <w:t>United States v. Munoz</w:t>
      </w:r>
    </w:p>
    <w:p w14:paraId="416A8495" w14:textId="21686C04" w:rsidR="00617B6C" w:rsidRDefault="00617B6C" w:rsidP="00617B6C">
      <w:pPr>
        <w:spacing w:after="0" w:line="240" w:lineRule="auto"/>
      </w:pPr>
      <w:r>
        <w:t>U.S. Court of Appeals for the Tenth Circuit</w:t>
      </w:r>
    </w:p>
    <w:p w14:paraId="2BE536F5" w14:textId="3E048E66" w:rsidR="00617B6C" w:rsidRDefault="00617B6C" w:rsidP="00617B6C">
      <w:pPr>
        <w:spacing w:after="0" w:line="240" w:lineRule="auto"/>
      </w:pPr>
      <w:r>
        <w:t>24-1418</w:t>
      </w:r>
    </w:p>
    <w:p w14:paraId="4E6D0848" w14:textId="0C2AB70E" w:rsidR="00617B6C" w:rsidRDefault="00617B6C" w:rsidP="00617B6C">
      <w:pPr>
        <w:spacing w:after="0" w:line="240" w:lineRule="auto"/>
      </w:pPr>
      <w:r>
        <w:t>December 16, 2025</w:t>
      </w:r>
    </w:p>
    <w:p w14:paraId="47E39955" w14:textId="77777777" w:rsidR="00617B6C" w:rsidRDefault="00617B6C" w:rsidP="00617B6C">
      <w:pPr>
        <w:spacing w:after="0" w:line="240" w:lineRule="auto"/>
      </w:pPr>
    </w:p>
    <w:p w14:paraId="253AF3AD" w14:textId="3C51E6F7" w:rsidR="00617B6C" w:rsidRPr="00617B6C" w:rsidRDefault="00617B6C" w:rsidP="00617B6C">
      <w:pPr>
        <w:spacing w:after="0" w:line="240" w:lineRule="auto"/>
        <w:rPr>
          <w:i/>
          <w:iCs/>
        </w:rPr>
      </w:pPr>
      <w:r w:rsidRPr="00617B6C">
        <w:rPr>
          <w:i/>
          <w:iCs/>
        </w:rPr>
        <w:t>Summary: Traffic</w:t>
      </w:r>
      <w:r w:rsidRPr="00617B6C">
        <w:rPr>
          <w:i/>
          <w:iCs/>
        </w:rPr>
        <w:t xml:space="preserve"> stop was justified </w:t>
      </w:r>
      <w:r w:rsidRPr="00617B6C">
        <w:rPr>
          <w:i/>
          <w:iCs/>
        </w:rPr>
        <w:t xml:space="preserve">at inception </w:t>
      </w:r>
      <w:r w:rsidRPr="00617B6C">
        <w:rPr>
          <w:i/>
          <w:iCs/>
        </w:rPr>
        <w:t>by reasonable suspicion of a violation and the extension of the stop was supported by reasonable suspicion of criminal activity.</w:t>
      </w:r>
    </w:p>
    <w:p w14:paraId="61A2FE06" w14:textId="77777777" w:rsidR="00617B6C" w:rsidRDefault="00617B6C" w:rsidP="00617B6C">
      <w:pPr>
        <w:spacing w:after="0" w:line="240" w:lineRule="auto"/>
      </w:pPr>
    </w:p>
    <w:p w14:paraId="44F825A3" w14:textId="77777777" w:rsidR="00617B6C" w:rsidRDefault="00617B6C" w:rsidP="00617B6C">
      <w:pPr>
        <w:spacing w:after="0" w:line="240" w:lineRule="auto"/>
      </w:pPr>
      <w:r>
        <w:t xml:space="preserve">Law enforcement officers with the Kansas Highway Patrol observed a black Jeep Grand Cherokee traveling eastbound on I-70 with a temporary registration tag that appeared to be unsecured and “flapping or blowing up,” rather than lying flat against the vehicle. The officers believed this constituted a violation of Kansas law regarding license plate attachment. Upon stopping the vehicle, they noted the driver, Miguel Munoz, appeared abnormally nervous and immediately volunteered that he and his wife were traveling to a funeral in Kansas, providing vague details. During the stop, an officer also noticed an image of Jesus </w:t>
      </w:r>
      <w:proofErr w:type="spellStart"/>
      <w:r>
        <w:t>Malverde</w:t>
      </w:r>
      <w:proofErr w:type="spellEnd"/>
      <w:r>
        <w:t>, which the officers associated with drug trafficking, hanging inside the Jeep. After further questioning, Munoz consented to a search, leading to the discovery of fentanyl tablets and a firearm.</w:t>
      </w:r>
    </w:p>
    <w:p w14:paraId="7EC8C8E9" w14:textId="77777777" w:rsidR="00617B6C" w:rsidRDefault="00617B6C" w:rsidP="00617B6C">
      <w:pPr>
        <w:spacing w:after="0" w:line="240" w:lineRule="auto"/>
      </w:pPr>
    </w:p>
    <w:p w14:paraId="77D085A8" w14:textId="77777777" w:rsidR="00617B6C" w:rsidRDefault="00617B6C" w:rsidP="00617B6C">
      <w:pPr>
        <w:spacing w:after="0" w:line="240" w:lineRule="auto"/>
      </w:pPr>
      <w:r>
        <w:t>Munoz was charged in the United States District Court for the District of Colorado with conspiracy to distribute and possess with intent to distribute controlled substances. He moved to suppress the evidence obtained from the traffic stop, arguing that the stop was not justified at its inception and was unreasonably extended. The district court held a suppression hearing, found the officers’ testimony credible, and denied the motion. The court concluded the stop was justified by reasonable suspicion of a violation of Kansas Statutes Annotated § 8-133(c) (requiring license plates to be securely fastened) and that the officers had reasonable suspicion to briefly extend the stop based on Munoz’s conduct and the items observed.</w:t>
      </w:r>
    </w:p>
    <w:p w14:paraId="15A47758" w14:textId="77777777" w:rsidR="00617B6C" w:rsidRDefault="00617B6C" w:rsidP="00617B6C">
      <w:pPr>
        <w:spacing w:after="0" w:line="240" w:lineRule="auto"/>
      </w:pPr>
    </w:p>
    <w:p w14:paraId="51DA7DBE" w14:textId="61832171" w:rsidR="00617B6C" w:rsidRDefault="00617B6C" w:rsidP="00617B6C">
      <w:pPr>
        <w:spacing w:after="0" w:line="240" w:lineRule="auto"/>
      </w:pPr>
      <w:r>
        <w:t>On appeal, the United States Court of Appeals for the Tenth Circuit reviewed the district court’s findings for clear error and legal conclusions de novo. The appellate court held that the initial stop was justified by reasonable suspicion of a violation of § 8-133(c), as interpreted by the Kansas Supreme Court, and that the extension of the stop was supported by reasonable suspicion of criminal activity. The Tenth Circuit affirmed the district court’s denial of Munoz’s motion to suppress and his conviction and sentence.</w:t>
      </w:r>
    </w:p>
    <w:p w14:paraId="52209B14" w14:textId="77777777" w:rsidR="00617B6C" w:rsidRDefault="00617B6C" w:rsidP="00617B6C">
      <w:pPr>
        <w:spacing w:after="0" w:line="240" w:lineRule="auto"/>
      </w:pPr>
    </w:p>
    <w:p w14:paraId="7E2838EF" w14:textId="658B5A31" w:rsidR="00617B6C" w:rsidRDefault="00617B6C" w:rsidP="00617B6C">
      <w:pPr>
        <w:spacing w:after="0" w:line="240" w:lineRule="auto"/>
      </w:pPr>
      <w:hyperlink r:id="rId12" w:history="1">
        <w:r w:rsidRPr="004E10E0">
          <w:rPr>
            <w:rStyle w:val="Hyperlink"/>
          </w:rPr>
          <w:t>https://cases.justia.com/federal/appellate-courts/ca10/24-1418/24-1418-2025-12-16.pdf</w:t>
        </w:r>
      </w:hyperlink>
      <w:r>
        <w:t xml:space="preserve"> </w:t>
      </w:r>
    </w:p>
    <w:p w14:paraId="330A1756" w14:textId="77777777" w:rsidR="00617B6C" w:rsidRDefault="00617B6C" w:rsidP="00617B6C">
      <w:pPr>
        <w:spacing w:after="0" w:line="240" w:lineRule="auto"/>
      </w:pPr>
    </w:p>
    <w:p w14:paraId="73D4B581" w14:textId="55A1CE51" w:rsidR="00347B56" w:rsidRDefault="00347B56">
      <w:r>
        <w:br w:type="page"/>
      </w:r>
    </w:p>
    <w:p w14:paraId="3B6CF5AE" w14:textId="77777777" w:rsidR="00347B56" w:rsidRPr="00347B56" w:rsidRDefault="00347B56" w:rsidP="00347B56">
      <w:pPr>
        <w:spacing w:after="0" w:line="240" w:lineRule="auto"/>
        <w:rPr>
          <w:b/>
          <w:bCs/>
        </w:rPr>
      </w:pPr>
      <w:r w:rsidRPr="00347B56">
        <w:rPr>
          <w:b/>
          <w:bCs/>
        </w:rPr>
        <w:lastRenderedPageBreak/>
        <w:t>Swanson v. State</w:t>
      </w:r>
    </w:p>
    <w:p w14:paraId="23022394" w14:textId="642BEA10" w:rsidR="00347B56" w:rsidRDefault="00347B56" w:rsidP="00347B56">
      <w:pPr>
        <w:spacing w:after="0" w:line="240" w:lineRule="auto"/>
      </w:pPr>
      <w:r>
        <w:t>Delaware Supreme Court</w:t>
      </w:r>
    </w:p>
    <w:p w14:paraId="0BA854B0" w14:textId="4543C897" w:rsidR="00347B56" w:rsidRDefault="00347B56" w:rsidP="00347B56">
      <w:pPr>
        <w:spacing w:after="0" w:line="240" w:lineRule="auto"/>
      </w:pPr>
      <w:r>
        <w:t>D</w:t>
      </w:r>
      <w:r>
        <w:t>ecember 15, 2025</w:t>
      </w:r>
    </w:p>
    <w:p w14:paraId="53C58C8C" w14:textId="77777777" w:rsidR="00347B56" w:rsidRDefault="00347B56" w:rsidP="00347B56">
      <w:pPr>
        <w:spacing w:after="0" w:line="240" w:lineRule="auto"/>
      </w:pPr>
    </w:p>
    <w:p w14:paraId="3D789345" w14:textId="50B154A5" w:rsidR="00347B56" w:rsidRPr="00347B56" w:rsidRDefault="00347B56" w:rsidP="00347B56">
      <w:pPr>
        <w:spacing w:after="0" w:line="240" w:lineRule="auto"/>
        <w:rPr>
          <w:i/>
          <w:iCs/>
        </w:rPr>
      </w:pPr>
      <w:r w:rsidRPr="00347B56">
        <w:rPr>
          <w:i/>
          <w:iCs/>
        </w:rPr>
        <w:t>Summary: O</w:t>
      </w:r>
      <w:r w:rsidRPr="00347B56">
        <w:rPr>
          <w:i/>
          <w:iCs/>
        </w:rPr>
        <w:t xml:space="preserve">fficers had reasonable suspicion for the initial stop based on the informant’s tip and corroborating observations, </w:t>
      </w:r>
      <w:r w:rsidRPr="00347B56">
        <w:rPr>
          <w:i/>
          <w:iCs/>
        </w:rPr>
        <w:t xml:space="preserve">but </w:t>
      </w:r>
      <w:r w:rsidRPr="00347B56">
        <w:rPr>
          <w:i/>
          <w:iCs/>
        </w:rPr>
        <w:t xml:space="preserve">the subsequent transport of </w:t>
      </w:r>
      <w:r w:rsidRPr="00347B56">
        <w:rPr>
          <w:i/>
          <w:iCs/>
        </w:rPr>
        <w:t>suspect</w:t>
      </w:r>
      <w:r w:rsidRPr="00347B56">
        <w:rPr>
          <w:i/>
          <w:iCs/>
        </w:rPr>
        <w:t xml:space="preserve"> to the police station amounted to a de facto arrest</w:t>
      </w:r>
      <w:r w:rsidRPr="00347B56">
        <w:rPr>
          <w:i/>
          <w:iCs/>
        </w:rPr>
        <w:t xml:space="preserve"> unsupported by probable cause</w:t>
      </w:r>
      <w:r w:rsidRPr="00347B56">
        <w:rPr>
          <w:i/>
          <w:iCs/>
        </w:rPr>
        <w:t>.</w:t>
      </w:r>
    </w:p>
    <w:p w14:paraId="55B695BB" w14:textId="77777777" w:rsidR="00347B56" w:rsidRDefault="00347B56" w:rsidP="00347B56">
      <w:pPr>
        <w:spacing w:after="0" w:line="240" w:lineRule="auto"/>
      </w:pPr>
    </w:p>
    <w:p w14:paraId="589B14B4" w14:textId="77777777" w:rsidR="00347B56" w:rsidRDefault="00347B56" w:rsidP="00347B56">
      <w:pPr>
        <w:spacing w:after="0" w:line="240" w:lineRule="auto"/>
      </w:pPr>
      <w:r>
        <w:t>Police in Wilmington, Delaware, were monitoring social media when a detective saw a video on Instagram that appeared to show Marvin Swanson, a person legally prohibited from possessing firearms, mimicking shooting motions and possibly displaying what looked like a gun magazine in his waistband. Shortly after, a confidential informant, known to be reliable, sent the detective the same video and claimed to have personally observed Swanson in the area with a firearm. The police responded to the location, saw Swanson in the described clothing, conducted a pat down that did not reveal a weapon, but found a loaded handgun in a recycling bin about 25–30 feet away. Swanson was handcuffed and transported to the police station, where he voluntarily provided a DNA sample. DNA testing later matched Swanson to the gun, leading to his arrest for possession of a firearm and ammunition by a person prohibited.</w:t>
      </w:r>
    </w:p>
    <w:p w14:paraId="50761B33" w14:textId="77777777" w:rsidR="00347B56" w:rsidRDefault="00347B56" w:rsidP="00347B56">
      <w:pPr>
        <w:spacing w:after="0" w:line="240" w:lineRule="auto"/>
      </w:pPr>
    </w:p>
    <w:p w14:paraId="5DFE5D40" w14:textId="77777777" w:rsidR="00347B56" w:rsidRDefault="00347B56" w:rsidP="00347B56">
      <w:pPr>
        <w:spacing w:after="0" w:line="240" w:lineRule="auto"/>
      </w:pPr>
      <w:r>
        <w:t>The Superior Court of the State of Delaware denied Swanson’s motion to suppress the DNA evidence, finding that officers had reasonable suspicion for the initial stop and that the continued detention and transport to the station were reasonable, necessary, and related to the investigation. A jury later convicted Swanson.</w:t>
      </w:r>
    </w:p>
    <w:p w14:paraId="024C4568" w14:textId="77777777" w:rsidR="00347B56" w:rsidRDefault="00347B56" w:rsidP="00347B56">
      <w:pPr>
        <w:spacing w:after="0" w:line="240" w:lineRule="auto"/>
      </w:pPr>
    </w:p>
    <w:p w14:paraId="3B74D836" w14:textId="430F6280" w:rsidR="00617B6C" w:rsidRDefault="00347B56" w:rsidP="00347B56">
      <w:pPr>
        <w:spacing w:after="0" w:line="240" w:lineRule="auto"/>
      </w:pPr>
      <w:r>
        <w:t>On appeal, the Supreme Court of the State of Delaware found that while the officers had reasonable suspicion for the initial stop based on the informant’s tip and corroborating observations, the subsequent transport of Swanson to the police station amounted to a de facto arrest. The Court held that this arrest was not supported by probable cause because the evidence linking Swanson to the gun was insufficient at the time of the arrest. As a result, the Court reversed the judgment of the Superior Court, holding that the motion to suppress should have been granted.</w:t>
      </w:r>
    </w:p>
    <w:p w14:paraId="004669C9" w14:textId="77777777" w:rsidR="00347B56" w:rsidRDefault="00347B56" w:rsidP="00347B56">
      <w:pPr>
        <w:spacing w:after="0" w:line="240" w:lineRule="auto"/>
      </w:pPr>
    </w:p>
    <w:p w14:paraId="5F45ADB2" w14:textId="3C6EBB96" w:rsidR="00347B56" w:rsidRDefault="00347B56" w:rsidP="00347B56">
      <w:pPr>
        <w:spacing w:after="0" w:line="240" w:lineRule="auto"/>
      </w:pPr>
      <w:hyperlink r:id="rId13" w:history="1">
        <w:r w:rsidRPr="004E10E0">
          <w:rPr>
            <w:rStyle w:val="Hyperlink"/>
          </w:rPr>
          <w:t>https://cases.justia.com/delaware/supreme-court/2025-489-2024.pdf</w:t>
        </w:r>
      </w:hyperlink>
      <w:r>
        <w:t xml:space="preserve"> </w:t>
      </w:r>
    </w:p>
    <w:p w14:paraId="6E2A5CC1" w14:textId="77777777" w:rsidR="00347B56" w:rsidRDefault="00347B56" w:rsidP="00347B56">
      <w:pPr>
        <w:spacing w:after="0" w:line="240" w:lineRule="auto"/>
      </w:pPr>
    </w:p>
    <w:p w14:paraId="19BE01DE" w14:textId="295A62D6" w:rsidR="00347B56" w:rsidRDefault="00347B56">
      <w:r>
        <w:br w:type="page"/>
      </w:r>
    </w:p>
    <w:p w14:paraId="6C4CBBFE" w14:textId="77777777" w:rsidR="00347B56" w:rsidRPr="00421081" w:rsidRDefault="00347B56" w:rsidP="00347B56">
      <w:pPr>
        <w:spacing w:after="0" w:line="240" w:lineRule="auto"/>
        <w:rPr>
          <w:b/>
          <w:bCs/>
        </w:rPr>
      </w:pPr>
      <w:r w:rsidRPr="00421081">
        <w:rPr>
          <w:b/>
          <w:bCs/>
        </w:rPr>
        <w:lastRenderedPageBreak/>
        <w:t>Commonwealth v. Kurtz</w:t>
      </w:r>
    </w:p>
    <w:p w14:paraId="445F7CCF" w14:textId="286AEE97" w:rsidR="00347B56" w:rsidRDefault="00347B56" w:rsidP="00347B56">
      <w:pPr>
        <w:spacing w:after="0" w:line="240" w:lineRule="auto"/>
      </w:pPr>
      <w:r>
        <w:t>Supreme Court of Pennsylvania</w:t>
      </w:r>
    </w:p>
    <w:p w14:paraId="62836E21" w14:textId="27F932A6" w:rsidR="00347B56" w:rsidRDefault="00347B56" w:rsidP="00347B56">
      <w:pPr>
        <w:spacing w:after="0" w:line="240" w:lineRule="auto"/>
      </w:pPr>
      <w:r>
        <w:t>December 16, 2025</w:t>
      </w:r>
    </w:p>
    <w:p w14:paraId="6724DE5F" w14:textId="77777777" w:rsidR="00347B56" w:rsidRDefault="00347B56" w:rsidP="00347B56">
      <w:pPr>
        <w:spacing w:after="0" w:line="240" w:lineRule="auto"/>
      </w:pPr>
    </w:p>
    <w:p w14:paraId="2BA201FF" w14:textId="75BC2EAD" w:rsidR="00347B56" w:rsidRPr="00421081" w:rsidRDefault="00421081" w:rsidP="00347B56">
      <w:pPr>
        <w:spacing w:after="0" w:line="240" w:lineRule="auto"/>
        <w:rPr>
          <w:i/>
          <w:iCs/>
        </w:rPr>
      </w:pPr>
      <w:r w:rsidRPr="00421081">
        <w:rPr>
          <w:i/>
          <w:iCs/>
        </w:rPr>
        <w:t xml:space="preserve">Summary: No REP </w:t>
      </w:r>
      <w:r w:rsidRPr="00421081">
        <w:rPr>
          <w:i/>
          <w:iCs/>
        </w:rPr>
        <w:t xml:space="preserve">using Google involves voluntarily providing information to a third </w:t>
      </w:r>
      <w:r w:rsidRPr="00421081">
        <w:rPr>
          <w:i/>
          <w:iCs/>
        </w:rPr>
        <w:t>party.</w:t>
      </w:r>
    </w:p>
    <w:p w14:paraId="0133605E" w14:textId="77777777" w:rsidR="00347B56" w:rsidRDefault="00347B56" w:rsidP="00347B56">
      <w:pPr>
        <w:spacing w:after="0" w:line="240" w:lineRule="auto"/>
      </w:pPr>
    </w:p>
    <w:p w14:paraId="2B04A9A0" w14:textId="77777777" w:rsidR="00347B56" w:rsidRDefault="00347B56" w:rsidP="00347B56">
      <w:pPr>
        <w:spacing w:after="0" w:line="240" w:lineRule="auto"/>
      </w:pPr>
      <w:r>
        <w:t>A woman was kidnapped and raped in her rural home after her husband left for work. The perpetrator bound, gagged, and blindfolded her, then drove her to another location where he assaulted her. After being released in a field, the victim contacted police, who collected DNA evidence but initially could not identify the assailant. Investigators suspected the crime was premeditated due to the remote location, timing, and other factors, and obtained a “reverse keyword search warrant” for Google records of searches related to the victim’s name and address. Google identified two searches for the victim’s address made just before the attack, both linked to the same IP address, which was traced to John Edward Kurtz. Surveillance and DNA from a discarded cigarette butt confirmed the match, and Kurtz confessed to this and other assaults.</w:t>
      </w:r>
    </w:p>
    <w:p w14:paraId="6CEC30CC" w14:textId="77777777" w:rsidR="00347B56" w:rsidRDefault="00347B56" w:rsidP="00347B56">
      <w:pPr>
        <w:spacing w:after="0" w:line="240" w:lineRule="auto"/>
      </w:pPr>
    </w:p>
    <w:p w14:paraId="3C18E700" w14:textId="77777777" w:rsidR="00347B56" w:rsidRDefault="00347B56" w:rsidP="00347B56">
      <w:pPr>
        <w:spacing w:after="0" w:line="240" w:lineRule="auto"/>
      </w:pPr>
      <w:r>
        <w:t>Kurtz moved to suppress the evidence from the Google search, arguing the search warrant lacked probable cause individualized to him and that his internet search records were protected by a reasonable expectation of privacy. The Northumberland County Court of Common Pleas denied the motion, and a jury found Kurtz guilty on all charges. He was sentenced to a lengthy prison term. On appeal, the Pennsylvania Superior Court affirmed, holding that Kurtz lacked an expectation of privacy in his Google search records or IP address, reasoning that he voluntarily provided this information to a third party and had agreed to Google’s privacy policy allowing cooperation with law enforcement.</w:t>
      </w:r>
    </w:p>
    <w:p w14:paraId="2262C7FD" w14:textId="77777777" w:rsidR="00347B56" w:rsidRDefault="00347B56" w:rsidP="00347B56">
      <w:pPr>
        <w:spacing w:after="0" w:line="240" w:lineRule="auto"/>
      </w:pPr>
    </w:p>
    <w:p w14:paraId="0B8E86A2" w14:textId="429EF859" w:rsidR="00347B56" w:rsidRDefault="00347B56" w:rsidP="00347B56">
      <w:pPr>
        <w:spacing w:after="0" w:line="240" w:lineRule="auto"/>
      </w:pPr>
      <w:r>
        <w:t>The Supreme Court of Pennsylvania reviewed whether individuals have a reasonable expectation of privacy in their unprotected internet search queries and IP addresses. The court held that the average user does not have such an expectation, as using a search engine like Google involves voluntarily providing information to a third party with clear notice that the information may be shared, including with law enforcement. The judgment below was affirmed.</w:t>
      </w:r>
    </w:p>
    <w:p w14:paraId="5B3D8B04" w14:textId="77777777" w:rsidR="00421081" w:rsidRDefault="00421081" w:rsidP="00347B56">
      <w:pPr>
        <w:spacing w:after="0" w:line="240" w:lineRule="auto"/>
      </w:pPr>
    </w:p>
    <w:p w14:paraId="3A5F067B" w14:textId="63081FCE" w:rsidR="00421081" w:rsidRDefault="00421081" w:rsidP="00347B56">
      <w:pPr>
        <w:spacing w:after="0" w:line="240" w:lineRule="auto"/>
      </w:pPr>
      <w:hyperlink r:id="rId14" w:history="1">
        <w:r w:rsidRPr="004E10E0">
          <w:rPr>
            <w:rStyle w:val="Hyperlink"/>
          </w:rPr>
          <w:t>https://cases.justia.com/pennsylvania/supreme-court/2025-98-map-2023-1.pdf</w:t>
        </w:r>
      </w:hyperlink>
      <w:r>
        <w:t xml:space="preserve"> </w:t>
      </w:r>
    </w:p>
    <w:p w14:paraId="5A64F8F5" w14:textId="77777777" w:rsidR="00421081" w:rsidRDefault="00421081" w:rsidP="00347B56">
      <w:pPr>
        <w:spacing w:after="0" w:line="240" w:lineRule="auto"/>
      </w:pPr>
    </w:p>
    <w:p w14:paraId="63661E38" w14:textId="77DA9A8A" w:rsidR="00C54F43" w:rsidRDefault="00C54F43">
      <w:r>
        <w:br w:type="page"/>
      </w:r>
    </w:p>
    <w:p w14:paraId="3D577C4C" w14:textId="77777777" w:rsidR="00C54F43" w:rsidRPr="00C54F43" w:rsidRDefault="00C54F43" w:rsidP="00C54F43">
      <w:pPr>
        <w:spacing w:after="0" w:line="240" w:lineRule="auto"/>
        <w:rPr>
          <w:b/>
          <w:bCs/>
        </w:rPr>
      </w:pPr>
      <w:r w:rsidRPr="00C54F43">
        <w:rPr>
          <w:b/>
          <w:bCs/>
        </w:rPr>
        <w:lastRenderedPageBreak/>
        <w:t>Nicholson v. Durant</w:t>
      </w:r>
    </w:p>
    <w:p w14:paraId="50D78B35" w14:textId="5763012C" w:rsidR="00C54F43" w:rsidRDefault="00C54F43" w:rsidP="00C54F43">
      <w:pPr>
        <w:spacing w:after="0" w:line="240" w:lineRule="auto"/>
      </w:pPr>
      <w:r>
        <w:t>U.S. Court of Appeals for the Fourth Circuit</w:t>
      </w:r>
    </w:p>
    <w:p w14:paraId="57730E33" w14:textId="5546CECB" w:rsidR="00C54F43" w:rsidRDefault="00C54F43" w:rsidP="00C54F43">
      <w:pPr>
        <w:spacing w:after="0" w:line="240" w:lineRule="auto"/>
      </w:pPr>
      <w:r>
        <w:t>24-1789</w:t>
      </w:r>
    </w:p>
    <w:p w14:paraId="0BC10B3C" w14:textId="44CD4ADC" w:rsidR="00C54F43" w:rsidRDefault="00C54F43" w:rsidP="00C54F43">
      <w:pPr>
        <w:spacing w:after="0" w:line="240" w:lineRule="auto"/>
      </w:pPr>
      <w:r>
        <w:t>December 18, 2025</w:t>
      </w:r>
    </w:p>
    <w:p w14:paraId="07D8AD47" w14:textId="77777777" w:rsidR="00C54F43" w:rsidRDefault="00C54F43" w:rsidP="00C54F43">
      <w:pPr>
        <w:spacing w:after="0" w:line="240" w:lineRule="auto"/>
      </w:pPr>
    </w:p>
    <w:p w14:paraId="54E4D4DB" w14:textId="55002174" w:rsidR="00C54F43" w:rsidRPr="00C54F43" w:rsidRDefault="00C54F43" w:rsidP="00C54F43">
      <w:pPr>
        <w:spacing w:after="0" w:line="240" w:lineRule="auto"/>
        <w:rPr>
          <w:i/>
          <w:iCs/>
        </w:rPr>
      </w:pPr>
      <w:r w:rsidRPr="00C54F43">
        <w:rPr>
          <w:i/>
          <w:iCs/>
        </w:rPr>
        <w:t>Summary: C</w:t>
      </w:r>
      <w:r w:rsidRPr="00C54F43">
        <w:rPr>
          <w:i/>
          <w:iCs/>
        </w:rPr>
        <w:t>omplaint</w:t>
      </w:r>
      <w:r w:rsidRPr="00C54F43">
        <w:rPr>
          <w:i/>
          <w:iCs/>
        </w:rPr>
        <w:t xml:space="preserve"> against officer for “low ready” display of firearm</w:t>
      </w:r>
      <w:r w:rsidRPr="00C54F43">
        <w:rPr>
          <w:i/>
          <w:iCs/>
        </w:rPr>
        <w:t xml:space="preserve"> sufficiently alleged gross negligence as a private person and that the officer had notice of this claim.</w:t>
      </w:r>
    </w:p>
    <w:p w14:paraId="69C6BB16" w14:textId="77777777" w:rsidR="00C54F43" w:rsidRDefault="00C54F43" w:rsidP="00C54F43">
      <w:pPr>
        <w:spacing w:after="0" w:line="240" w:lineRule="auto"/>
      </w:pPr>
    </w:p>
    <w:p w14:paraId="0804198E" w14:textId="77777777" w:rsidR="00C54F43" w:rsidRDefault="00C54F43" w:rsidP="00C54F43">
      <w:pPr>
        <w:spacing w:after="0" w:line="240" w:lineRule="auto"/>
      </w:pPr>
      <w:r>
        <w:t>A sixteen-year-old boy and his friend were waiting for transportation under a carport near the boy’s home when they were approached by an off-duty Baltimore City police officer who had just returned from firearms training. The officer, dressed in plain clothes and carrying a loaded handgun, questioned the boys about their presence in the neighborhood. After a brief exchange, the officer brandished his gun at “low ready,” causing the boys to fear for their lives. The incident had a lasting traumatic effect on the boy, resulting in emotional distress, behavioral changes, and ultimately leading him to attend a boarding school to distance himself from the event.</w:t>
      </w:r>
    </w:p>
    <w:p w14:paraId="205518E8" w14:textId="77777777" w:rsidR="00C54F43" w:rsidRDefault="00C54F43" w:rsidP="00C54F43">
      <w:pPr>
        <w:spacing w:after="0" w:line="240" w:lineRule="auto"/>
      </w:pPr>
    </w:p>
    <w:p w14:paraId="7BA93838" w14:textId="77777777" w:rsidR="00C54F43" w:rsidRDefault="00C54F43" w:rsidP="00C54F43">
      <w:pPr>
        <w:spacing w:after="0" w:line="240" w:lineRule="auto"/>
      </w:pPr>
      <w:r>
        <w:t>The boy filed suit under 42 U.S.C. § 1983 and Maryland state law against the officer, the Baltimore Police Department, the Mayor and City Council of Baltimore, and the State of Maryland. All claims against the institutional defendants were dismissed by the United States District Court for the District of Maryland, and some claims against the officer were dismissed at summary judgment. At trial, the district court submitted to the jury both constitutional claims and state law gross negligence claims, including gross negligence in the officer’s capacity as a private person. The jury found for the officer on constitutional claims but found him grossly negligent as a private person, awarding $250,000 in compensatory damages for emotional harm. The officer moved to alter or amend the judgment or for a new trial, arguing lack of notice on the private person claim and excessiveness of damages, but the district court denied the motion.</w:t>
      </w:r>
    </w:p>
    <w:p w14:paraId="25DEC889" w14:textId="77777777" w:rsidR="00C54F43" w:rsidRDefault="00C54F43" w:rsidP="00C54F43">
      <w:pPr>
        <w:spacing w:after="0" w:line="240" w:lineRule="auto"/>
      </w:pPr>
    </w:p>
    <w:p w14:paraId="1867879D" w14:textId="6EC003E9" w:rsidR="00421081" w:rsidRDefault="00C54F43" w:rsidP="00C54F43">
      <w:pPr>
        <w:spacing w:after="0" w:line="240" w:lineRule="auto"/>
      </w:pPr>
      <w:r>
        <w:t>On appeal, the United States Court of Appeals for the Fourth Circuit affirmed. The court held that the complaint sufficiently alleged gross negligence as a private person and that the officer had notice of this claim. The court rejected the officer’s arguments regarding supplemental jurisdiction, plain error in jury instructions, and excessiveness of damages, finding no abuse of discretion or plain error by the district court. The judgment was affirmed.</w:t>
      </w:r>
    </w:p>
    <w:p w14:paraId="69D65F48" w14:textId="77777777" w:rsidR="00C54F43" w:rsidRDefault="00C54F43" w:rsidP="00C54F43">
      <w:pPr>
        <w:spacing w:after="0" w:line="240" w:lineRule="auto"/>
      </w:pPr>
    </w:p>
    <w:p w14:paraId="56D8040B" w14:textId="2ED37C3D" w:rsidR="00C54F43" w:rsidRDefault="00C54F43" w:rsidP="00C54F43">
      <w:pPr>
        <w:spacing w:after="0" w:line="240" w:lineRule="auto"/>
      </w:pPr>
      <w:hyperlink r:id="rId15" w:history="1">
        <w:r w:rsidRPr="004E10E0">
          <w:rPr>
            <w:rStyle w:val="Hyperlink"/>
          </w:rPr>
          <w:t>https://cases.justia.com/federal/appellate-courts/ca4/24-1789/24-1789-2025-12-18.pdf</w:t>
        </w:r>
      </w:hyperlink>
      <w:r>
        <w:t xml:space="preserve"> </w:t>
      </w:r>
    </w:p>
    <w:p w14:paraId="1DA77295" w14:textId="77777777" w:rsidR="00C54F43" w:rsidRDefault="00C54F43" w:rsidP="00C54F43">
      <w:pPr>
        <w:spacing w:after="0" w:line="240" w:lineRule="auto"/>
      </w:pPr>
    </w:p>
    <w:p w14:paraId="2358A425" w14:textId="0AA3ABC4" w:rsidR="00FA13CB" w:rsidRDefault="00FA13CB">
      <w:r>
        <w:br w:type="page"/>
      </w:r>
    </w:p>
    <w:p w14:paraId="4613B4A1" w14:textId="77777777" w:rsidR="00FA13CB" w:rsidRPr="00FA13CB" w:rsidRDefault="00FA13CB" w:rsidP="00FA13CB">
      <w:pPr>
        <w:spacing w:after="0" w:line="240" w:lineRule="auto"/>
        <w:rPr>
          <w:b/>
          <w:bCs/>
        </w:rPr>
      </w:pPr>
      <w:proofErr w:type="spellStart"/>
      <w:r w:rsidRPr="00FA13CB">
        <w:rPr>
          <w:b/>
          <w:bCs/>
        </w:rPr>
        <w:lastRenderedPageBreak/>
        <w:t>Halasz</w:t>
      </w:r>
      <w:proofErr w:type="spellEnd"/>
      <w:r w:rsidRPr="00FA13CB">
        <w:rPr>
          <w:b/>
          <w:bCs/>
        </w:rPr>
        <w:t xml:space="preserve"> v. Cass City Public Schools</w:t>
      </w:r>
    </w:p>
    <w:p w14:paraId="4FE42680" w14:textId="3719DD2D" w:rsidR="00FA13CB" w:rsidRDefault="00FA13CB" w:rsidP="00FA13CB">
      <w:pPr>
        <w:spacing w:after="0" w:line="240" w:lineRule="auto"/>
      </w:pPr>
      <w:r>
        <w:t>U.S. Court of Appeals for the Sixth Circuit</w:t>
      </w:r>
    </w:p>
    <w:p w14:paraId="3C308CDD" w14:textId="23F1DE56" w:rsidR="00FA13CB" w:rsidRDefault="00FA13CB" w:rsidP="00FA13CB">
      <w:pPr>
        <w:spacing w:after="0" w:line="240" w:lineRule="auto"/>
      </w:pPr>
      <w:r>
        <w:t>25-1492</w:t>
      </w:r>
    </w:p>
    <w:p w14:paraId="59373681" w14:textId="65FC0917" w:rsidR="00FA13CB" w:rsidRDefault="00FA13CB" w:rsidP="00FA13CB">
      <w:pPr>
        <w:spacing w:after="0" w:line="240" w:lineRule="auto"/>
      </w:pPr>
      <w:r>
        <w:t>December 18, 2025</w:t>
      </w:r>
    </w:p>
    <w:p w14:paraId="3632E3EE" w14:textId="77777777" w:rsidR="00FA13CB" w:rsidRDefault="00FA13CB" w:rsidP="00FA13CB">
      <w:pPr>
        <w:spacing w:after="0" w:line="240" w:lineRule="auto"/>
      </w:pPr>
    </w:p>
    <w:p w14:paraId="3BDCF9F9" w14:textId="7AD79CA8" w:rsidR="00FA13CB" w:rsidRPr="00FA13CB" w:rsidRDefault="00FA13CB" w:rsidP="00FA13CB">
      <w:pPr>
        <w:spacing w:after="0" w:line="240" w:lineRule="auto"/>
        <w:rPr>
          <w:i/>
          <w:iCs/>
        </w:rPr>
      </w:pPr>
      <w:r w:rsidRPr="00FA13CB">
        <w:rPr>
          <w:i/>
          <w:iCs/>
        </w:rPr>
        <w:t>Summary: T</w:t>
      </w:r>
      <w:r w:rsidRPr="00FA13CB">
        <w:rPr>
          <w:i/>
          <w:iCs/>
        </w:rPr>
        <w:t xml:space="preserve">he search and seizure of </w:t>
      </w:r>
      <w:r w:rsidRPr="00FA13CB">
        <w:rPr>
          <w:i/>
          <w:iCs/>
        </w:rPr>
        <w:t>student</w:t>
      </w:r>
      <w:r w:rsidRPr="00FA13CB">
        <w:rPr>
          <w:i/>
          <w:iCs/>
        </w:rPr>
        <w:t xml:space="preserve"> were reasonable under the circumstances, given the nature of the reported threat and school safety concerns.</w:t>
      </w:r>
    </w:p>
    <w:p w14:paraId="276EA60B" w14:textId="77777777" w:rsidR="00FA13CB" w:rsidRDefault="00FA13CB" w:rsidP="00FA13CB">
      <w:pPr>
        <w:spacing w:after="0" w:line="240" w:lineRule="auto"/>
      </w:pPr>
    </w:p>
    <w:p w14:paraId="5AE4ACA4" w14:textId="77777777" w:rsidR="00FA13CB" w:rsidRDefault="00FA13CB" w:rsidP="00FA13CB">
      <w:pPr>
        <w:spacing w:after="0" w:line="240" w:lineRule="auto"/>
      </w:pPr>
      <w:r>
        <w:t>After a fatal school shooting occurred at a high school in Michigan, H.H., an eighth-grade student at a different school, was reported by several classmates to have made threatening comments about possessing or bringing a gun to campus. The school administration, in response to these reports and heightened safety concerns, questioned H.H. with assistance from law enforcement, searched his person, backpack, and locker, and ultimately found no firearm. Despite this, the administration determined that H.H. had violated the school district’s code of conduct and referred him for an expulsion hearing, which resulted in his expulsion for 180 days.</w:t>
      </w:r>
    </w:p>
    <w:p w14:paraId="11BFF5B5" w14:textId="77777777" w:rsidR="00FA13CB" w:rsidRDefault="00FA13CB" w:rsidP="00FA13CB">
      <w:pPr>
        <w:spacing w:after="0" w:line="240" w:lineRule="auto"/>
      </w:pPr>
    </w:p>
    <w:p w14:paraId="0C41EA56" w14:textId="77777777" w:rsidR="00FA13CB" w:rsidRDefault="00FA13CB" w:rsidP="00FA13CB">
      <w:pPr>
        <w:spacing w:after="0" w:line="240" w:lineRule="auto"/>
      </w:pPr>
      <w:r>
        <w:t>Following the expulsion, H.H.’s parents filed a lawsuit in the United States District Court for the Eastern District of Michigan against the school district and various officials. They raised claims under 42 U.S.C. § 1983 for alleged violations of H.H.’s Fourth Amendment rights (unlawful search and seizure), procedural and substantive due process, and also asserted state law tort claims. The district court granted summary judgment in favor of the defendants on all claims, finding no constitutional violations and determining that the defendants were immune from state law liability.</w:t>
      </w:r>
    </w:p>
    <w:p w14:paraId="57C7A6F4" w14:textId="77777777" w:rsidR="00FA13CB" w:rsidRDefault="00FA13CB" w:rsidP="00FA13CB">
      <w:pPr>
        <w:spacing w:after="0" w:line="240" w:lineRule="auto"/>
      </w:pPr>
    </w:p>
    <w:p w14:paraId="44012E75" w14:textId="215CC3F2" w:rsidR="00C54F43" w:rsidRDefault="00FA13CB" w:rsidP="00FA13CB">
      <w:pPr>
        <w:spacing w:after="0" w:line="240" w:lineRule="auto"/>
      </w:pPr>
      <w:r>
        <w:t>The United States Court of Appeals for the Sixth Circuit reviewed the case de novo. The court held that the search and seizure of H.H. were reasonable under the circumstances, given the nature of the reported threat and school safety concerns. It found that the procedures afforded to H.H. during the expulsion process satisfied due process requirements, and there was no evidence of bias or arbitrary conduct by the school board. The court also concluded that the individual defendants were entitled to qualified immunity, and that governmental immunity barred the state tort claims. The Sixth Circuit affirmed the district court’s judgment in full.</w:t>
      </w:r>
    </w:p>
    <w:p w14:paraId="257CC28D" w14:textId="77777777" w:rsidR="00FA13CB" w:rsidRDefault="00FA13CB" w:rsidP="00FA13CB">
      <w:pPr>
        <w:spacing w:after="0" w:line="240" w:lineRule="auto"/>
      </w:pPr>
    </w:p>
    <w:p w14:paraId="449F149F" w14:textId="644958BB" w:rsidR="00FA13CB" w:rsidRDefault="00FA13CB" w:rsidP="00FA13CB">
      <w:pPr>
        <w:spacing w:after="0" w:line="240" w:lineRule="auto"/>
      </w:pPr>
      <w:hyperlink r:id="rId16" w:history="1">
        <w:r w:rsidRPr="004E10E0">
          <w:rPr>
            <w:rStyle w:val="Hyperlink"/>
          </w:rPr>
          <w:t>https://cases.justia.com/federal/appellate-courts/ca6/25-1492/25-1492-2025-12-18.pdf</w:t>
        </w:r>
      </w:hyperlink>
      <w:r>
        <w:t xml:space="preserve"> </w:t>
      </w:r>
    </w:p>
    <w:p w14:paraId="190CD1AD" w14:textId="77777777" w:rsidR="00FA13CB" w:rsidRDefault="00FA13CB" w:rsidP="00FA13CB">
      <w:pPr>
        <w:spacing w:after="0" w:line="240" w:lineRule="auto"/>
      </w:pPr>
    </w:p>
    <w:p w14:paraId="48044F5F" w14:textId="6865C54D" w:rsidR="00FA13CB" w:rsidRDefault="00FA13CB">
      <w:r>
        <w:br w:type="page"/>
      </w:r>
    </w:p>
    <w:p w14:paraId="52B2B9BF" w14:textId="77777777" w:rsidR="00BD151D" w:rsidRPr="00BD151D" w:rsidRDefault="00BD151D" w:rsidP="00BD151D">
      <w:pPr>
        <w:spacing w:after="0" w:line="240" w:lineRule="auto"/>
        <w:rPr>
          <w:b/>
          <w:bCs/>
        </w:rPr>
      </w:pPr>
      <w:r w:rsidRPr="00BD151D">
        <w:rPr>
          <w:b/>
          <w:bCs/>
        </w:rPr>
        <w:lastRenderedPageBreak/>
        <w:t>Gantt v. Everett</w:t>
      </w:r>
    </w:p>
    <w:p w14:paraId="08D6BAD1" w14:textId="38CD03CF" w:rsidR="00BD151D" w:rsidRDefault="00BD151D" w:rsidP="00BD151D">
      <w:pPr>
        <w:spacing w:after="0" w:line="240" w:lineRule="auto"/>
      </w:pPr>
      <w:r>
        <w:t>U.S. Court of Appeals for the Eleventh Circuit</w:t>
      </w:r>
    </w:p>
    <w:p w14:paraId="3F12EF7D" w14:textId="35B878AD" w:rsidR="00BD151D" w:rsidRDefault="00BD151D" w:rsidP="00BD151D">
      <w:pPr>
        <w:spacing w:after="0" w:line="240" w:lineRule="auto"/>
      </w:pPr>
      <w:r>
        <w:t>24-12167</w:t>
      </w:r>
    </w:p>
    <w:p w14:paraId="7793AA32" w14:textId="50AC4BC7" w:rsidR="00BD151D" w:rsidRDefault="00BD151D" w:rsidP="00BD151D">
      <w:pPr>
        <w:spacing w:after="0" w:line="240" w:lineRule="auto"/>
      </w:pPr>
      <w:r>
        <w:t>December 18, 2025</w:t>
      </w:r>
    </w:p>
    <w:p w14:paraId="76F5296F" w14:textId="77777777" w:rsidR="00BD151D" w:rsidRDefault="00BD151D" w:rsidP="00BD151D">
      <w:pPr>
        <w:spacing w:after="0" w:line="240" w:lineRule="auto"/>
      </w:pPr>
    </w:p>
    <w:p w14:paraId="35CC5927" w14:textId="70733BC8" w:rsidR="00BD151D" w:rsidRPr="00BD151D" w:rsidRDefault="00BD151D" w:rsidP="00BD151D">
      <w:pPr>
        <w:spacing w:after="0" w:line="240" w:lineRule="auto"/>
        <w:rPr>
          <w:i/>
          <w:iCs/>
        </w:rPr>
      </w:pPr>
      <w:r w:rsidRPr="00BD151D">
        <w:rPr>
          <w:i/>
          <w:iCs/>
        </w:rPr>
        <w:t>Summary: Ev</w:t>
      </w:r>
      <w:r w:rsidRPr="00BD151D">
        <w:rPr>
          <w:i/>
          <w:iCs/>
        </w:rPr>
        <w:t xml:space="preserve">idence </w:t>
      </w:r>
      <w:r w:rsidRPr="00BD151D">
        <w:rPr>
          <w:i/>
          <w:iCs/>
        </w:rPr>
        <w:t xml:space="preserve">was insufficient </w:t>
      </w:r>
      <w:r w:rsidRPr="00BD151D">
        <w:rPr>
          <w:i/>
          <w:iCs/>
        </w:rPr>
        <w:t>that deputy was subjectively aware that unlocking the cell presented a substantial suicide risk specific to this inmate</w:t>
      </w:r>
      <w:r w:rsidRPr="00BD151D">
        <w:rPr>
          <w:i/>
          <w:iCs/>
        </w:rPr>
        <w:t xml:space="preserve"> (</w:t>
      </w:r>
      <w:r>
        <w:rPr>
          <w:i/>
          <w:iCs/>
        </w:rPr>
        <w:t xml:space="preserve">no </w:t>
      </w:r>
      <w:r w:rsidRPr="00BD151D">
        <w:rPr>
          <w:i/>
          <w:iCs/>
        </w:rPr>
        <w:t>deliberate indifference)</w:t>
      </w:r>
      <w:r w:rsidRPr="00BD151D">
        <w:rPr>
          <w:i/>
          <w:iCs/>
        </w:rPr>
        <w:t>.</w:t>
      </w:r>
    </w:p>
    <w:p w14:paraId="7B84F89E" w14:textId="77777777" w:rsidR="00BD151D" w:rsidRDefault="00BD151D" w:rsidP="00BD151D">
      <w:pPr>
        <w:spacing w:after="0" w:line="240" w:lineRule="auto"/>
      </w:pPr>
    </w:p>
    <w:p w14:paraId="3742C23B" w14:textId="77777777" w:rsidR="00BD151D" w:rsidRDefault="00BD151D" w:rsidP="00BD151D">
      <w:pPr>
        <w:spacing w:after="0" w:line="240" w:lineRule="auto"/>
      </w:pPr>
      <w:r>
        <w:t>An inmate at the Jefferson County Jail, who was on suicide watch and housed on the bottom floor of a two-story cell block, suffered a head injury and requested medical attention. A deputy, who was not previously familiar with the inmate, observed her distress and the visible injury. After consulting with a nurse, the deputy prepared to transport the inmate to the medical clinic and remotely unlocked her cell door from the control room. Upon release, the inmate ran upstairs and jumped from the second-story landing, sustaining additional injuries.</w:t>
      </w:r>
    </w:p>
    <w:p w14:paraId="17221C97" w14:textId="77777777" w:rsidR="00BD151D" w:rsidRDefault="00BD151D" w:rsidP="00BD151D">
      <w:pPr>
        <w:spacing w:after="0" w:line="240" w:lineRule="auto"/>
      </w:pPr>
    </w:p>
    <w:p w14:paraId="12AF8774" w14:textId="77777777" w:rsidR="00BD151D" w:rsidRDefault="00BD151D" w:rsidP="00BD151D">
      <w:pPr>
        <w:spacing w:after="0" w:line="240" w:lineRule="auto"/>
      </w:pPr>
      <w:r>
        <w:t>The United States District Court for the Northern District of Alabama considered the inmate’s claim under 42 U.S.C. § 1983, alleging the deputy was deliberately indifferent to a strong likelihood of self-harm. The district court denied the deputy’s motion for summary judgment based on qualified immunity. It found that a reasonable juror could conclude the deputy violated the inmate's constitutional rights by disregarding the risk of harm in releasing her unsupervised and that the law regarding deliberate indifference to detainee safety was clearly established.</w:t>
      </w:r>
    </w:p>
    <w:p w14:paraId="72EC2243" w14:textId="77777777" w:rsidR="00BD151D" w:rsidRDefault="00BD151D" w:rsidP="00BD151D">
      <w:pPr>
        <w:spacing w:after="0" w:line="240" w:lineRule="auto"/>
      </w:pPr>
    </w:p>
    <w:p w14:paraId="234F1A5A" w14:textId="67EB5C39" w:rsidR="00FA13CB" w:rsidRDefault="00BD151D" w:rsidP="00BD151D">
      <w:pPr>
        <w:spacing w:after="0" w:line="240" w:lineRule="auto"/>
      </w:pPr>
      <w:r>
        <w:t>The United States Court of Appeals for the Eleventh Circuit reviewed the district court’s denial of qualified immunity de novo. The appellate court determined that, although the inmate suffered a serious deprivation, there was insufficient evidence that the deputy was subjectively aware that unlocking the cell presented a substantial suicide risk specific to this inmate. The court found the deputy acted to aid the inmate and did not knowingly disregard a substantial risk of harm. The Eleventh Circuit held the deputy did not violate the inmate’s constitutional rights and was entitled to qualified immunity. It vacated the district court’s order and remanded with instructions to enter summary judgment for the deputy.</w:t>
      </w:r>
    </w:p>
    <w:p w14:paraId="382D0816" w14:textId="77777777" w:rsidR="00BD151D" w:rsidRDefault="00BD151D" w:rsidP="00BD151D">
      <w:pPr>
        <w:spacing w:after="0" w:line="240" w:lineRule="auto"/>
      </w:pPr>
    </w:p>
    <w:p w14:paraId="27C8962F" w14:textId="41A62767" w:rsidR="00BD151D" w:rsidRDefault="00BD151D" w:rsidP="00BD151D">
      <w:pPr>
        <w:spacing w:after="0" w:line="240" w:lineRule="auto"/>
      </w:pPr>
      <w:hyperlink r:id="rId17" w:history="1">
        <w:r w:rsidRPr="004E10E0">
          <w:rPr>
            <w:rStyle w:val="Hyperlink"/>
          </w:rPr>
          <w:t>https://cases.justia.com/federal/appellate-courts/ca11/24-12167/24-12167-2025-12-18.pdf</w:t>
        </w:r>
      </w:hyperlink>
      <w:r>
        <w:t xml:space="preserve"> </w:t>
      </w:r>
    </w:p>
    <w:p w14:paraId="7398BA7F" w14:textId="77777777" w:rsidR="00BD151D" w:rsidRDefault="00BD151D" w:rsidP="00BD151D">
      <w:pPr>
        <w:spacing w:after="0" w:line="240" w:lineRule="auto"/>
      </w:pPr>
    </w:p>
    <w:p w14:paraId="7CFB7D75" w14:textId="5708F6BA" w:rsidR="00BD151D" w:rsidRDefault="00BD151D">
      <w:r>
        <w:br w:type="page"/>
      </w:r>
    </w:p>
    <w:p w14:paraId="3783FE76" w14:textId="16E1F6AD" w:rsidR="00BD151D" w:rsidRPr="00BD151D" w:rsidRDefault="00BD151D" w:rsidP="00BD151D">
      <w:pPr>
        <w:spacing w:after="0" w:line="240" w:lineRule="auto"/>
        <w:rPr>
          <w:b/>
          <w:bCs/>
        </w:rPr>
      </w:pPr>
      <w:r w:rsidRPr="00BD151D">
        <w:rPr>
          <w:b/>
          <w:bCs/>
        </w:rPr>
        <w:lastRenderedPageBreak/>
        <w:t>U</w:t>
      </w:r>
      <w:r w:rsidRPr="00BD151D">
        <w:rPr>
          <w:b/>
          <w:bCs/>
        </w:rPr>
        <w:t>nited States</w:t>
      </w:r>
      <w:r w:rsidRPr="00BD151D">
        <w:rPr>
          <w:b/>
          <w:bCs/>
        </w:rPr>
        <w:t xml:space="preserve"> v Edwards</w:t>
      </w:r>
    </w:p>
    <w:p w14:paraId="09865CB2" w14:textId="75C0F5A1" w:rsidR="00BD151D" w:rsidRDefault="00BD151D" w:rsidP="00BD151D">
      <w:pPr>
        <w:spacing w:after="0" w:line="240" w:lineRule="auto"/>
      </w:pPr>
      <w:r>
        <w:t>U.S. Court of Appeals for the Seventh Circuit</w:t>
      </w:r>
    </w:p>
    <w:p w14:paraId="2174ADF8" w14:textId="6D7D7370" w:rsidR="00BD151D" w:rsidRDefault="00BD151D" w:rsidP="00BD151D">
      <w:pPr>
        <w:spacing w:after="0" w:line="240" w:lineRule="auto"/>
      </w:pPr>
      <w:r>
        <w:t>21-3114</w:t>
      </w:r>
    </w:p>
    <w:p w14:paraId="5E7706CF" w14:textId="00C29271" w:rsidR="00BD151D" w:rsidRDefault="00BD151D" w:rsidP="00BD151D">
      <w:pPr>
        <w:spacing w:after="0" w:line="240" w:lineRule="auto"/>
      </w:pPr>
      <w:r>
        <w:t>December 17, 2025</w:t>
      </w:r>
    </w:p>
    <w:p w14:paraId="174D0D0B" w14:textId="77777777" w:rsidR="00BD151D" w:rsidRDefault="00BD151D" w:rsidP="00BD151D">
      <w:pPr>
        <w:spacing w:after="0" w:line="240" w:lineRule="auto"/>
      </w:pPr>
    </w:p>
    <w:p w14:paraId="341C4CCD" w14:textId="36024050" w:rsidR="00BD151D" w:rsidRPr="00C1571A" w:rsidRDefault="00BD151D" w:rsidP="00BD151D">
      <w:pPr>
        <w:spacing w:after="0" w:line="240" w:lineRule="auto"/>
        <w:rPr>
          <w:i/>
          <w:iCs/>
        </w:rPr>
      </w:pPr>
      <w:r w:rsidRPr="00C1571A">
        <w:rPr>
          <w:i/>
          <w:iCs/>
        </w:rPr>
        <w:t xml:space="preserve">Summary: </w:t>
      </w:r>
      <w:r w:rsidR="00C1571A" w:rsidRPr="00C1571A">
        <w:rPr>
          <w:i/>
          <w:iCs/>
        </w:rPr>
        <w:t xml:space="preserve">Use of countersurveillance driving gave </w:t>
      </w:r>
      <w:r w:rsidR="00C1571A" w:rsidRPr="00C1571A">
        <w:rPr>
          <w:i/>
          <w:iCs/>
        </w:rPr>
        <w:t>officers reasonable suspicion for stop and their use of force did not convert the encounter into a</w:t>
      </w:r>
      <w:r w:rsidR="00C1571A">
        <w:rPr>
          <w:i/>
          <w:iCs/>
        </w:rPr>
        <w:t xml:space="preserve"> de facto</w:t>
      </w:r>
      <w:r w:rsidR="00C1571A" w:rsidRPr="00C1571A">
        <w:rPr>
          <w:i/>
          <w:iCs/>
        </w:rPr>
        <w:t xml:space="preserve"> arrest.</w:t>
      </w:r>
    </w:p>
    <w:p w14:paraId="3CBB10F1" w14:textId="77777777" w:rsidR="00BD151D" w:rsidRDefault="00BD151D" w:rsidP="00BD151D">
      <w:pPr>
        <w:spacing w:after="0" w:line="240" w:lineRule="auto"/>
      </w:pPr>
    </w:p>
    <w:p w14:paraId="6F85B76D" w14:textId="77777777" w:rsidR="00BD151D" w:rsidRDefault="00BD151D" w:rsidP="00BD151D">
      <w:pPr>
        <w:spacing w:after="0" w:line="240" w:lineRule="auto"/>
      </w:pPr>
      <w:r>
        <w:t>Federal law enforcement began investigating the defendant after a wiretap of an associate’s phone implicated him in drug trafficking outside Chicago. The investigation revealed that the defendant, a convicted felon, was likely involved in significant drug transactions and was concerned about being targeted for a robbery. He was overheard discussing that he possessed a firearm for protection. Surveillance observed him using countersurveillance driving maneuvers, prompting agents to initiate a stop. During the stop, the defendant failed to comply with commands, resisted a frisk, and was ultimately found to have a handgun in his pocket.</w:t>
      </w:r>
    </w:p>
    <w:p w14:paraId="77DAD48B" w14:textId="77777777" w:rsidR="00BD151D" w:rsidRDefault="00BD151D" w:rsidP="00BD151D">
      <w:pPr>
        <w:spacing w:after="0" w:line="240" w:lineRule="auto"/>
      </w:pPr>
    </w:p>
    <w:p w14:paraId="2118D3C1" w14:textId="77777777" w:rsidR="00BD151D" w:rsidRDefault="00BD151D" w:rsidP="00BD151D">
      <w:pPr>
        <w:spacing w:after="0" w:line="240" w:lineRule="auto"/>
      </w:pPr>
      <w:r>
        <w:t>The United States District Court for the Northern District of Illinois, Eastern Division, considered and denied the defendant’s motion to suppress the firearm, finding that the officers had reasonable suspicion for the stop and that their use of force did not convert the encounter into an arrest without probable cause. The case proceeded to trial, where the jury found the defendant guilty of being a felon in possession of a firearm. The district court also denied the defendant’s posttrial motions for acquittal and a new trial. At sentencing, the court declined to enhance the sentence under the Armed Career Criminal Act (ACCA), concluding that the defendant’s prior Illinois conviction for voluntary manslaughter was not a qualifying predicate offense.</w:t>
      </w:r>
    </w:p>
    <w:p w14:paraId="5080654F" w14:textId="77777777" w:rsidR="00BD151D" w:rsidRDefault="00BD151D" w:rsidP="00BD151D">
      <w:pPr>
        <w:spacing w:after="0" w:line="240" w:lineRule="auto"/>
      </w:pPr>
    </w:p>
    <w:p w14:paraId="0DEE15EA" w14:textId="68BB6B80" w:rsidR="00BD151D" w:rsidRDefault="00BD151D" w:rsidP="00BD151D">
      <w:pPr>
        <w:spacing w:after="0" w:line="240" w:lineRule="auto"/>
      </w:pPr>
      <w:r>
        <w:t>On appeal, the United States Court of Appeals for the Seventh Circuit affirmed the conviction, holding that the officers had reasonable suspicion and their conduct was justified under the circumstances. The court also found the evidence at trial was sufficient to support the verdict and that the district judge’s evidentiary rulings did not merit a new trial. However, the Seventh Circuit vacated the sentence, holding that the defendant’s 1982 Illinois voluntary manslaughter conviction qualifies as a violent felony under the ACCA, and remanded for resentencing.</w:t>
      </w:r>
    </w:p>
    <w:p w14:paraId="71AD483A" w14:textId="77777777" w:rsidR="00C1571A" w:rsidRDefault="00C1571A" w:rsidP="00BD151D">
      <w:pPr>
        <w:spacing w:after="0" w:line="240" w:lineRule="auto"/>
      </w:pPr>
    </w:p>
    <w:p w14:paraId="12209C6C" w14:textId="3B91D035" w:rsidR="00C1571A" w:rsidRDefault="00C1571A" w:rsidP="00BD151D">
      <w:pPr>
        <w:spacing w:after="0" w:line="240" w:lineRule="auto"/>
      </w:pPr>
      <w:hyperlink r:id="rId18" w:history="1">
        <w:r w:rsidRPr="004E10E0">
          <w:rPr>
            <w:rStyle w:val="Hyperlink"/>
          </w:rPr>
          <w:t>https://cases.justia.com/federal/appellate-courts/ca7/21-3114/21-3114-2025-12-17.pdf</w:t>
        </w:r>
      </w:hyperlink>
      <w:r>
        <w:t xml:space="preserve"> </w:t>
      </w:r>
    </w:p>
    <w:p w14:paraId="2100B998" w14:textId="77777777" w:rsidR="00C1571A" w:rsidRDefault="00C1571A" w:rsidP="00BD151D">
      <w:pPr>
        <w:spacing w:after="0" w:line="240" w:lineRule="auto"/>
      </w:pPr>
    </w:p>
    <w:p w14:paraId="45D7D685" w14:textId="378DFB9D" w:rsidR="00C1571A" w:rsidRDefault="00C1571A" w:rsidP="0064146E"/>
    <w:sectPr w:rsidR="00C15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D7"/>
    <w:rsid w:val="000D4B28"/>
    <w:rsid w:val="001612AE"/>
    <w:rsid w:val="00274D10"/>
    <w:rsid w:val="00347B56"/>
    <w:rsid w:val="00384FCA"/>
    <w:rsid w:val="00421081"/>
    <w:rsid w:val="004E3816"/>
    <w:rsid w:val="00570746"/>
    <w:rsid w:val="00617B6C"/>
    <w:rsid w:val="0064146E"/>
    <w:rsid w:val="00734FD7"/>
    <w:rsid w:val="00753FD5"/>
    <w:rsid w:val="0080634D"/>
    <w:rsid w:val="00856797"/>
    <w:rsid w:val="00BD151D"/>
    <w:rsid w:val="00C1571A"/>
    <w:rsid w:val="00C54F43"/>
    <w:rsid w:val="00D41EC4"/>
    <w:rsid w:val="00FA1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7A7D"/>
  <w15:chartTrackingRefBased/>
  <w15:docId w15:val="{E7AC0606-8B32-4CC7-8D4D-27E32CBF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D7"/>
    <w:rPr>
      <w:rFonts w:eastAsiaTheme="majorEastAsia" w:cstheme="majorBidi"/>
      <w:color w:val="272727" w:themeColor="text1" w:themeTint="D8"/>
    </w:rPr>
  </w:style>
  <w:style w:type="paragraph" w:styleId="Title">
    <w:name w:val="Title"/>
    <w:basedOn w:val="Normal"/>
    <w:next w:val="Normal"/>
    <w:link w:val="TitleChar"/>
    <w:uiPriority w:val="10"/>
    <w:qFormat/>
    <w:rsid w:val="00734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D7"/>
    <w:pPr>
      <w:spacing w:before="160"/>
      <w:jc w:val="center"/>
    </w:pPr>
    <w:rPr>
      <w:i/>
      <w:iCs/>
      <w:color w:val="404040" w:themeColor="text1" w:themeTint="BF"/>
    </w:rPr>
  </w:style>
  <w:style w:type="character" w:customStyle="1" w:styleId="QuoteChar">
    <w:name w:val="Quote Char"/>
    <w:basedOn w:val="DefaultParagraphFont"/>
    <w:link w:val="Quote"/>
    <w:uiPriority w:val="29"/>
    <w:rsid w:val="00734FD7"/>
    <w:rPr>
      <w:i/>
      <w:iCs/>
      <w:color w:val="404040" w:themeColor="text1" w:themeTint="BF"/>
    </w:rPr>
  </w:style>
  <w:style w:type="paragraph" w:styleId="ListParagraph">
    <w:name w:val="List Paragraph"/>
    <w:basedOn w:val="Normal"/>
    <w:uiPriority w:val="34"/>
    <w:qFormat/>
    <w:rsid w:val="00734FD7"/>
    <w:pPr>
      <w:ind w:left="720"/>
      <w:contextualSpacing/>
    </w:pPr>
  </w:style>
  <w:style w:type="character" w:styleId="IntenseEmphasis">
    <w:name w:val="Intense Emphasis"/>
    <w:basedOn w:val="DefaultParagraphFont"/>
    <w:uiPriority w:val="21"/>
    <w:qFormat/>
    <w:rsid w:val="00734FD7"/>
    <w:rPr>
      <w:i/>
      <w:iCs/>
      <w:color w:val="0F4761" w:themeColor="accent1" w:themeShade="BF"/>
    </w:rPr>
  </w:style>
  <w:style w:type="paragraph" w:styleId="IntenseQuote">
    <w:name w:val="Intense Quote"/>
    <w:basedOn w:val="Normal"/>
    <w:next w:val="Normal"/>
    <w:link w:val="IntenseQuoteChar"/>
    <w:uiPriority w:val="30"/>
    <w:qFormat/>
    <w:rsid w:val="00734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FD7"/>
    <w:rPr>
      <w:i/>
      <w:iCs/>
      <w:color w:val="0F4761" w:themeColor="accent1" w:themeShade="BF"/>
    </w:rPr>
  </w:style>
  <w:style w:type="character" w:styleId="IntenseReference">
    <w:name w:val="Intense Reference"/>
    <w:basedOn w:val="DefaultParagraphFont"/>
    <w:uiPriority w:val="32"/>
    <w:qFormat/>
    <w:rsid w:val="00734FD7"/>
    <w:rPr>
      <w:b/>
      <w:bCs/>
      <w:smallCaps/>
      <w:color w:val="0F4761" w:themeColor="accent1" w:themeShade="BF"/>
      <w:spacing w:val="5"/>
    </w:rPr>
  </w:style>
  <w:style w:type="character" w:styleId="Hyperlink">
    <w:name w:val="Hyperlink"/>
    <w:basedOn w:val="DefaultParagraphFont"/>
    <w:uiPriority w:val="99"/>
    <w:unhideWhenUsed/>
    <w:rsid w:val="00274D10"/>
    <w:rPr>
      <w:color w:val="467886" w:themeColor="hyperlink"/>
      <w:u w:val="single"/>
    </w:rPr>
  </w:style>
  <w:style w:type="character" w:styleId="UnresolvedMention">
    <w:name w:val="Unresolved Mention"/>
    <w:basedOn w:val="DefaultParagraphFont"/>
    <w:uiPriority w:val="99"/>
    <w:semiHidden/>
    <w:unhideWhenUsed/>
    <w:rsid w:val="00274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22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6/25-5188/25-5188-2025-12-17.pdf" TargetMode="External"/><Relationship Id="rId13" Type="http://schemas.openxmlformats.org/officeDocument/2006/relationships/hyperlink" Target="https://cases.justia.com/delaware/supreme-court/2025-489-2024.pdf" TargetMode="External"/><Relationship Id="rId18" Type="http://schemas.openxmlformats.org/officeDocument/2006/relationships/hyperlink" Target="https://cases.justia.com/federal/appellate-courts/ca7/21-3114/21-3114-2025-12-17.pdf" TargetMode="External"/><Relationship Id="rId3" Type="http://schemas.openxmlformats.org/officeDocument/2006/relationships/webSettings" Target="webSettings.xml"/><Relationship Id="rId7" Type="http://schemas.openxmlformats.org/officeDocument/2006/relationships/hyperlink" Target="https://cases.justia.com/federal/appellate-courts/ca6/24-2016/24-2016-2025-12-12.pdf" TargetMode="External"/><Relationship Id="rId12" Type="http://schemas.openxmlformats.org/officeDocument/2006/relationships/hyperlink" Target="https://cases.justia.com/federal/appellate-courts/ca10/24-1418/24-1418-2025-12-16.pdf" TargetMode="External"/><Relationship Id="rId17" Type="http://schemas.openxmlformats.org/officeDocument/2006/relationships/hyperlink" Target="https://cases.justia.com/federal/appellate-courts/ca11/24-12167/24-12167-2025-12-18.pdf" TargetMode="External"/><Relationship Id="rId2" Type="http://schemas.openxmlformats.org/officeDocument/2006/relationships/settings" Target="settings.xml"/><Relationship Id="rId16" Type="http://schemas.openxmlformats.org/officeDocument/2006/relationships/hyperlink" Target="https://cases.justia.com/federal/appellate-courts/ca6/25-1492/25-1492-2025-12-18.pdf"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ases.justia.com/federal/appellate-courts/ca6/25-5014/25-5014-2025-12-16.pdf" TargetMode="External"/><Relationship Id="rId11" Type="http://schemas.openxmlformats.org/officeDocument/2006/relationships/hyperlink" Target="https://cases.justia.com/federal/appellate-courts/ca8/24-2158/24-2158-2025-12-15.pdf" TargetMode="External"/><Relationship Id="rId5" Type="http://schemas.openxmlformats.org/officeDocument/2006/relationships/hyperlink" Target="https://cases.justia.com/federal/appellate-courts/ca5/24-40525/24-40525-2025-12-12.pdf" TargetMode="External"/><Relationship Id="rId15" Type="http://schemas.openxmlformats.org/officeDocument/2006/relationships/hyperlink" Target="https://cases.justia.com/federal/appellate-courts/ca4/24-1789/24-1789-2025-12-18.pdf" TargetMode="External"/><Relationship Id="rId10" Type="http://schemas.openxmlformats.org/officeDocument/2006/relationships/hyperlink" Target="https://cases.justia.com/federal/appellate-courts/ca8/24-2905/24-2905-2025-12-12.pdf" TargetMode="External"/><Relationship Id="rId19" Type="http://schemas.openxmlformats.org/officeDocument/2006/relationships/fontTable" Target="fontTable.xml"/><Relationship Id="rId4" Type="http://schemas.openxmlformats.org/officeDocument/2006/relationships/hyperlink" Target="https://cases.justia.com/federal/appellate-courts/ca3/24-3191/24-3191-2025-12-15.pdf" TargetMode="External"/><Relationship Id="rId9" Type="http://schemas.openxmlformats.org/officeDocument/2006/relationships/hyperlink" Target="https://cases.justia.com/federal/appellate-courts/ca6/25-1051/25-1051-2025-12-16.pdf" TargetMode="External"/><Relationship Id="rId14" Type="http://schemas.openxmlformats.org/officeDocument/2006/relationships/hyperlink" Target="https://cases.justia.com/pennsylvania/supreme-court/2025-98-map-2023-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15</Pages>
  <Words>5393</Words>
  <Characters>30741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8</cp:revision>
  <dcterms:created xsi:type="dcterms:W3CDTF">2025-12-22T14:56:00Z</dcterms:created>
  <dcterms:modified xsi:type="dcterms:W3CDTF">2025-12-22T16:27:00Z</dcterms:modified>
</cp:coreProperties>
</file>