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D677" w14:textId="658AE55E" w:rsidR="005D0F50" w:rsidRDefault="00EC0391">
      <w:r>
        <w:t>BF52 26DEC2025</w:t>
      </w:r>
    </w:p>
    <w:p w14:paraId="17040B04" w14:textId="77777777" w:rsidR="00EC0391" w:rsidRDefault="00EC0391"/>
    <w:p w14:paraId="26630B7E" w14:textId="798ECE71" w:rsidR="00466024" w:rsidRPr="00466024" w:rsidRDefault="00466024" w:rsidP="006D0BBD">
      <w:pPr>
        <w:rPr>
          <w:b/>
          <w:bCs/>
        </w:rPr>
      </w:pPr>
      <w:proofErr w:type="spellStart"/>
      <w:r w:rsidRPr="00466024">
        <w:rPr>
          <w:b/>
          <w:bCs/>
        </w:rPr>
        <w:t>Weldeyohannes</w:t>
      </w:r>
      <w:proofErr w:type="spellEnd"/>
      <w:r w:rsidRPr="00466024">
        <w:rPr>
          <w:b/>
          <w:bCs/>
        </w:rPr>
        <w:t xml:space="preserve"> v. Washington</w:t>
      </w:r>
    </w:p>
    <w:p w14:paraId="6AB9E627" w14:textId="7E0E9FF2" w:rsidR="006D0BBD" w:rsidRDefault="006D0BBD" w:rsidP="006D0BBD">
      <w:r>
        <w:t>U.S. Court of Appeals for the Ninth Circuit</w:t>
      </w:r>
    </w:p>
    <w:p w14:paraId="5D746DF9" w14:textId="1F9EAC5F" w:rsidR="006D0BBD" w:rsidRDefault="00466024" w:rsidP="006D0BBD">
      <w:r>
        <w:t>2</w:t>
      </w:r>
      <w:r w:rsidR="006D0BBD">
        <w:t>4-3821</w:t>
      </w:r>
    </w:p>
    <w:p w14:paraId="186FB544" w14:textId="41553A38" w:rsidR="006D0BBD" w:rsidRDefault="006D0BBD" w:rsidP="006D0BBD">
      <w:r>
        <w:t>December 19, 2025</w:t>
      </w:r>
    </w:p>
    <w:p w14:paraId="1089A016" w14:textId="77777777" w:rsidR="006D0BBD" w:rsidRDefault="006D0BBD" w:rsidP="006D0BBD"/>
    <w:p w14:paraId="1E8E17B6" w14:textId="1E57599B" w:rsidR="006D0BBD" w:rsidRPr="00466024" w:rsidRDefault="00466024" w:rsidP="006D0BBD">
      <w:pPr>
        <w:rPr>
          <w:i/>
          <w:iCs/>
        </w:rPr>
      </w:pPr>
      <w:r w:rsidRPr="00466024">
        <w:rPr>
          <w:i/>
          <w:iCs/>
        </w:rPr>
        <w:t xml:space="preserve">Summary: Factual </w:t>
      </w:r>
      <w:r w:rsidRPr="00466024">
        <w:rPr>
          <w:i/>
          <w:iCs/>
        </w:rPr>
        <w:t xml:space="preserve">disputes precluded </w:t>
      </w:r>
      <w:r w:rsidRPr="00466024">
        <w:rPr>
          <w:i/>
          <w:iCs/>
        </w:rPr>
        <w:t>qualified immunity</w:t>
      </w:r>
      <w:r w:rsidRPr="00466024">
        <w:rPr>
          <w:i/>
          <w:iCs/>
        </w:rPr>
        <w:t xml:space="preserve"> on Eighth Amendment claims alleging deliberate indifference and excessive force</w:t>
      </w:r>
      <w:r w:rsidRPr="00466024">
        <w:rPr>
          <w:i/>
          <w:iCs/>
        </w:rPr>
        <w:t>.</w:t>
      </w:r>
    </w:p>
    <w:p w14:paraId="4C307629" w14:textId="77777777" w:rsidR="006D0BBD" w:rsidRDefault="006D0BBD" w:rsidP="006D0BBD"/>
    <w:p w14:paraId="7A31E2F3" w14:textId="77777777" w:rsidR="006D0BBD" w:rsidRDefault="006D0BBD" w:rsidP="006D0BBD">
      <w:r>
        <w:t>A prison inmate with a documented history of mobility impairments and medical accommodations, including the use of a wheelchair and a transportation code requiring wheelchair-accessible vehicles, was scheduled for transfer between two facilities. On the day of the transport, he arrived in his wheelchair but was not provided with an accessible van. Instead, prison officials attempted to move him onto a standard bus. The inmate protested, stating he could not board without proper accommodations, but officials treated his protest as a refusal. After a crisis negotiator was called and negotiations failed, prison staff physically moved him onto the bus, allegedly causing him injury.</w:t>
      </w:r>
    </w:p>
    <w:p w14:paraId="66DC7F3C" w14:textId="77777777" w:rsidR="006D0BBD" w:rsidRDefault="006D0BBD" w:rsidP="006D0BBD"/>
    <w:p w14:paraId="3409FD7C" w14:textId="77777777" w:rsidR="006D0BBD" w:rsidRDefault="006D0BBD" w:rsidP="006D0BBD">
      <w:r>
        <w:t>A magistrate judge in the United States District Court for the Western District of Washington found that there were genuine disputes of material fact regarding the officials’ awareness of the inmate’s needs, the transportation code in effect, the extent of force used, and the resulting injuries. The magistrate recommended denying summary judgment and qualified immunity for most defendants. However, the district court rejected these recommendations, granted summary judgment for the State of Washington and the individual prison officials, and found that qualified immunity shielded the officials, reasoning that the mistaken transportation code did not amount to deliberate indifference.</w:t>
      </w:r>
    </w:p>
    <w:p w14:paraId="7E4E4BF8" w14:textId="77777777" w:rsidR="006D0BBD" w:rsidRDefault="006D0BBD" w:rsidP="006D0BBD"/>
    <w:p w14:paraId="2AE96306" w14:textId="1CC565B4" w:rsidR="00EC0391" w:rsidRDefault="006D0BBD" w:rsidP="006D0BBD">
      <w:r>
        <w:t>The United States Court of Appeals for the Ninth Circuit reviewed the case. It held that the district court erred in granting summary judgment because material factual disputes remained regarding whether officials had notice of the inmate’s need for accommodation and the extent of their investigation into those needs. The Ninth Circuit also found that these disputes precluded summary judgment on Eighth Amendment claims alleging deliberate indifference and excessive force, and that qualified immunity was improperly granted at this stage. The court reversed the district court’s judgment and remanded for further proceedings.</w:t>
      </w:r>
    </w:p>
    <w:p w14:paraId="0A145AAB" w14:textId="77777777" w:rsidR="006D0BBD" w:rsidRDefault="006D0BBD" w:rsidP="006D0BBD"/>
    <w:p w14:paraId="3F80C83C" w14:textId="031A59F8" w:rsidR="006D0BBD" w:rsidRDefault="006D0BBD" w:rsidP="006D0BBD">
      <w:hyperlink r:id="rId4" w:history="1">
        <w:r w:rsidRPr="00BE69DF">
          <w:rPr>
            <w:rStyle w:val="Hyperlink"/>
          </w:rPr>
          <w:t>https://cases.justia.com/federal/appellate-courts/ca9/24-3821/24-3821-2025-12-19.pdf</w:t>
        </w:r>
      </w:hyperlink>
      <w:r>
        <w:t xml:space="preserve"> </w:t>
      </w:r>
    </w:p>
    <w:p w14:paraId="2B8472F5" w14:textId="77777777" w:rsidR="006D0BBD" w:rsidRDefault="006D0BBD" w:rsidP="006D0BBD"/>
    <w:p w14:paraId="5914DDDF" w14:textId="10909EDD" w:rsidR="006D0BBD" w:rsidRDefault="006D0BBD">
      <w:r>
        <w:br w:type="page"/>
      </w:r>
    </w:p>
    <w:p w14:paraId="1ADD594D" w14:textId="77777777" w:rsidR="00172B9F" w:rsidRPr="00466024" w:rsidRDefault="00172B9F" w:rsidP="00172B9F">
      <w:pPr>
        <w:rPr>
          <w:b/>
          <w:bCs/>
        </w:rPr>
      </w:pPr>
      <w:r w:rsidRPr="00466024">
        <w:rPr>
          <w:b/>
          <w:bCs/>
        </w:rPr>
        <w:lastRenderedPageBreak/>
        <w:t>United States v. Saine</w:t>
      </w:r>
    </w:p>
    <w:p w14:paraId="776E40F2" w14:textId="27CC4151" w:rsidR="00172B9F" w:rsidRDefault="00172B9F" w:rsidP="00172B9F">
      <w:r>
        <w:t>U.S. Court of Appeals for the Sixth Circuit</w:t>
      </w:r>
    </w:p>
    <w:p w14:paraId="32D47334" w14:textId="42A571BE" w:rsidR="00172B9F" w:rsidRDefault="00172B9F" w:rsidP="00172B9F">
      <w:r>
        <w:t>24-5638</w:t>
      </w:r>
    </w:p>
    <w:p w14:paraId="0FCCE116" w14:textId="69223EBF" w:rsidR="00172B9F" w:rsidRDefault="00172B9F" w:rsidP="00172B9F">
      <w:r>
        <w:t>December 22, 2025</w:t>
      </w:r>
    </w:p>
    <w:p w14:paraId="41E3B08E" w14:textId="77777777" w:rsidR="00172B9F" w:rsidRDefault="00172B9F" w:rsidP="00172B9F"/>
    <w:p w14:paraId="755FD9B3" w14:textId="1E1F80AE" w:rsidR="00172B9F" w:rsidRPr="00466024" w:rsidRDefault="00466024" w:rsidP="00172B9F">
      <w:pPr>
        <w:rPr>
          <w:i/>
          <w:iCs/>
        </w:rPr>
      </w:pPr>
      <w:r w:rsidRPr="00466024">
        <w:rPr>
          <w:i/>
          <w:iCs/>
        </w:rPr>
        <w:t xml:space="preserve">Summary: </w:t>
      </w:r>
      <w:r w:rsidRPr="00466024">
        <w:rPr>
          <w:i/>
          <w:iCs/>
        </w:rPr>
        <w:t>K9 alert supplies probable cause for a vehicle search, even when the dog cannot distinguish between legal and illegal cannabis</w:t>
      </w:r>
      <w:r w:rsidRPr="00466024">
        <w:rPr>
          <w:i/>
          <w:iCs/>
        </w:rPr>
        <w:t>.</w:t>
      </w:r>
    </w:p>
    <w:p w14:paraId="792FB0FE" w14:textId="77777777" w:rsidR="00172B9F" w:rsidRDefault="00172B9F" w:rsidP="00172B9F"/>
    <w:p w14:paraId="35A601FA" w14:textId="77777777" w:rsidR="00172B9F" w:rsidRDefault="00172B9F" w:rsidP="00172B9F">
      <w:r>
        <w:t>In this case, Ricco Saine was approached by police in a motel parking lot after a BOLO alert indicated he was suspected of narcotics trafficking. Officers, believing the motel was a known drug location, called in a K9 unit, which alerted on Saine’s truck. A subsequent search uncovered a firearm and a small amount of a substance believed to be marijuana, though its identity was not confirmed. Weeks later, officers investigating at Saine’s home discovered additional firearms, some of which had been purchased by Saine’s wife, Tonya, with Saine present. Police later obtained a text exchange between Saine and Tonya, indicating she had his gun in their house.</w:t>
      </w:r>
    </w:p>
    <w:p w14:paraId="3CA6977B" w14:textId="77777777" w:rsidR="00172B9F" w:rsidRDefault="00172B9F" w:rsidP="00172B9F"/>
    <w:p w14:paraId="5E0E2458" w14:textId="77777777" w:rsidR="00172B9F" w:rsidRDefault="00172B9F" w:rsidP="00172B9F">
      <w:r>
        <w:t>The United States District Court for the Eastern District of Tennessee denied Saine’s motion to suppress the firearm found in his truck, rejecting his argument that the K9’s inability to distinguish between legal hemp and illegal marijuana invalidated probable cause for the search. At trial, the court also admitted the text exchange between Saine and Tonya, overruling Saine’s objections that it constituted inadmissible hearsay and impermissible propensity evidence under Federal Rule of Evidence 404(b). The jury returned guilty verdicts on both counts of unlawful possession of a firearm as a convicted felon.</w:t>
      </w:r>
    </w:p>
    <w:p w14:paraId="5F953BED" w14:textId="77777777" w:rsidR="00172B9F" w:rsidRDefault="00172B9F" w:rsidP="00172B9F"/>
    <w:p w14:paraId="172B3883" w14:textId="7B28EBE1" w:rsidR="006D0BBD" w:rsidRDefault="00172B9F" w:rsidP="00172B9F">
      <w:r>
        <w:t xml:space="preserve">Reviewing the case, the United States Court of Appeals for the Sixth Circuit held that a </w:t>
      </w:r>
      <w:bookmarkStart w:id="0" w:name="_Hlk217647544"/>
      <w:r>
        <w:t>K9 alert supplies probable cause for a vehicle search, even when the dog cannot distinguish between legal and illegal cannabis</w:t>
      </w:r>
      <w:bookmarkEnd w:id="0"/>
      <w:r>
        <w:t>, as probable cause depends on probabilities, not certainties. The court also found that the admission of the text exchange was proper, as it was used to show Saine’s knowledge rather than propensity, and any prejudicial effect did not substantially outweigh its probative value. The court affirmed Saine’s conviction.</w:t>
      </w:r>
    </w:p>
    <w:p w14:paraId="26D37A3B" w14:textId="77777777" w:rsidR="00172B9F" w:rsidRDefault="00172B9F" w:rsidP="00172B9F"/>
    <w:p w14:paraId="1520E520" w14:textId="5447A77B" w:rsidR="00172B9F" w:rsidRDefault="00172B9F">
      <w:hyperlink r:id="rId5" w:history="1">
        <w:r w:rsidRPr="00BE69DF">
          <w:rPr>
            <w:rStyle w:val="Hyperlink"/>
          </w:rPr>
          <w:t>https://cases.justia.com/federal/appellate-courts/ca6/24-5638/24-5638-2025-12-22.pdf</w:t>
        </w:r>
      </w:hyperlink>
      <w:r>
        <w:t xml:space="preserve"> </w:t>
      </w:r>
    </w:p>
    <w:p w14:paraId="483E182C" w14:textId="77777777" w:rsidR="00172B9F" w:rsidRDefault="00172B9F" w:rsidP="00172B9F"/>
    <w:p w14:paraId="2C69330C" w14:textId="77777777" w:rsidR="00172B9F" w:rsidRDefault="00172B9F" w:rsidP="00172B9F"/>
    <w:p w14:paraId="3067E4ED" w14:textId="77777777" w:rsidR="00172B9F" w:rsidRDefault="00172B9F" w:rsidP="00172B9F"/>
    <w:sectPr w:rsidR="00172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91"/>
    <w:rsid w:val="00172B9F"/>
    <w:rsid w:val="00466024"/>
    <w:rsid w:val="005D0F50"/>
    <w:rsid w:val="006D0BBD"/>
    <w:rsid w:val="007C5A88"/>
    <w:rsid w:val="00C12DDB"/>
    <w:rsid w:val="00E37A45"/>
    <w:rsid w:val="00EC0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37C58"/>
  <w15:chartTrackingRefBased/>
  <w15:docId w15:val="{F7722AB4-045E-417A-B271-9362F6BE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3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3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3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3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391"/>
    <w:rPr>
      <w:rFonts w:eastAsiaTheme="majorEastAsia" w:cstheme="majorBidi"/>
      <w:color w:val="272727" w:themeColor="text1" w:themeTint="D8"/>
    </w:rPr>
  </w:style>
  <w:style w:type="paragraph" w:styleId="Title">
    <w:name w:val="Title"/>
    <w:basedOn w:val="Normal"/>
    <w:next w:val="Normal"/>
    <w:link w:val="TitleChar"/>
    <w:uiPriority w:val="10"/>
    <w:qFormat/>
    <w:rsid w:val="00EC03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3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3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391"/>
    <w:rPr>
      <w:i/>
      <w:iCs/>
      <w:color w:val="404040" w:themeColor="text1" w:themeTint="BF"/>
    </w:rPr>
  </w:style>
  <w:style w:type="paragraph" w:styleId="ListParagraph">
    <w:name w:val="List Paragraph"/>
    <w:basedOn w:val="Normal"/>
    <w:uiPriority w:val="34"/>
    <w:qFormat/>
    <w:rsid w:val="00EC0391"/>
    <w:pPr>
      <w:ind w:left="720"/>
      <w:contextualSpacing/>
    </w:pPr>
  </w:style>
  <w:style w:type="character" w:styleId="IntenseEmphasis">
    <w:name w:val="Intense Emphasis"/>
    <w:basedOn w:val="DefaultParagraphFont"/>
    <w:uiPriority w:val="21"/>
    <w:qFormat/>
    <w:rsid w:val="00EC0391"/>
    <w:rPr>
      <w:i/>
      <w:iCs/>
      <w:color w:val="0F4761" w:themeColor="accent1" w:themeShade="BF"/>
    </w:rPr>
  </w:style>
  <w:style w:type="paragraph" w:styleId="IntenseQuote">
    <w:name w:val="Intense Quote"/>
    <w:basedOn w:val="Normal"/>
    <w:next w:val="Normal"/>
    <w:link w:val="IntenseQuoteChar"/>
    <w:uiPriority w:val="30"/>
    <w:qFormat/>
    <w:rsid w:val="00EC0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391"/>
    <w:rPr>
      <w:i/>
      <w:iCs/>
      <w:color w:val="0F4761" w:themeColor="accent1" w:themeShade="BF"/>
    </w:rPr>
  </w:style>
  <w:style w:type="character" w:styleId="IntenseReference">
    <w:name w:val="Intense Reference"/>
    <w:basedOn w:val="DefaultParagraphFont"/>
    <w:uiPriority w:val="32"/>
    <w:qFormat/>
    <w:rsid w:val="00EC0391"/>
    <w:rPr>
      <w:b/>
      <w:bCs/>
      <w:smallCaps/>
      <w:color w:val="0F4761" w:themeColor="accent1" w:themeShade="BF"/>
      <w:spacing w:val="5"/>
    </w:rPr>
  </w:style>
  <w:style w:type="character" w:styleId="Hyperlink">
    <w:name w:val="Hyperlink"/>
    <w:basedOn w:val="DefaultParagraphFont"/>
    <w:uiPriority w:val="99"/>
    <w:unhideWhenUsed/>
    <w:rsid w:val="006D0BBD"/>
    <w:rPr>
      <w:color w:val="467886" w:themeColor="hyperlink"/>
      <w:u w:val="single"/>
    </w:rPr>
  </w:style>
  <w:style w:type="character" w:styleId="UnresolvedMention">
    <w:name w:val="Unresolved Mention"/>
    <w:basedOn w:val="DefaultParagraphFont"/>
    <w:uiPriority w:val="99"/>
    <w:semiHidden/>
    <w:unhideWhenUsed/>
    <w:rsid w:val="006D0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ases.justia.com/federal/appellate-courts/ca6/24-5638/24-5638-2025-12-22.pdf" TargetMode="External"/><Relationship Id="rId4" Type="http://schemas.openxmlformats.org/officeDocument/2006/relationships/hyperlink" Target="https://cases.justia.com/federal/appellate-courts/ca9/24-3821/24-3821-2025-12-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624</Words>
  <Characters>4062</Characters>
  <Application>Microsoft Office Word</Application>
  <DocSecurity>0</DocSecurity>
  <Lines>677</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2025-12-26T17:58:00Z</dcterms:created>
  <dcterms:modified xsi:type="dcterms:W3CDTF">2025-12-26T18:19:00Z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76f999df-c3fd-4a97-88ec-45c569122418</vt:lpwstr>
  </property>
</Properties>
</file>