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3777A" w14:textId="57C00957" w:rsidR="00533A48" w:rsidRDefault="007E2C78">
      <w:r>
        <w:t>BF</w:t>
      </w:r>
      <w:proofErr w:type="gramStart"/>
      <w:r w:rsidR="00DB09C5">
        <w:t xml:space="preserve">8 </w:t>
      </w:r>
      <w:r>
        <w:t xml:space="preserve"> 21</w:t>
      </w:r>
      <w:proofErr w:type="gramEnd"/>
      <w:r>
        <w:t>FEB2025</w:t>
      </w:r>
    </w:p>
    <w:p w14:paraId="1883FCEE" w14:textId="77777777" w:rsidR="007E2C78" w:rsidRDefault="007E2C78"/>
    <w:p w14:paraId="562FDCAD" w14:textId="77777777" w:rsidR="00FF44EE" w:rsidRPr="006F4AF0" w:rsidRDefault="00FF44EE" w:rsidP="00FF44EE">
      <w:pPr>
        <w:rPr>
          <w:b/>
          <w:bCs/>
        </w:rPr>
      </w:pPr>
      <w:r w:rsidRPr="006F4AF0">
        <w:rPr>
          <w:b/>
          <w:bCs/>
        </w:rPr>
        <w:t>United States v. Poller</w:t>
      </w:r>
    </w:p>
    <w:p w14:paraId="62F0A9F2" w14:textId="45C33B11" w:rsidR="00FF44EE" w:rsidRDefault="00FF44EE" w:rsidP="00FF44EE">
      <w:r>
        <w:t>U.S. Court of Appeals for the Second Circuit</w:t>
      </w:r>
    </w:p>
    <w:p w14:paraId="45B49F13" w14:textId="2858DFB3" w:rsidR="00FF44EE" w:rsidRDefault="00FF44EE" w:rsidP="00FF44EE">
      <w:r w:rsidRPr="00FF44EE">
        <w:t>February 20, 2025</w:t>
      </w:r>
    </w:p>
    <w:p w14:paraId="3D4786E7" w14:textId="77777777" w:rsidR="00FF44EE" w:rsidRDefault="00FF44EE" w:rsidP="00FF44EE">
      <w:r>
        <w:t>Docket: 24-75</w:t>
      </w:r>
    </w:p>
    <w:p w14:paraId="7C0F0E14" w14:textId="77777777" w:rsidR="00FF44EE" w:rsidRDefault="00FF44EE" w:rsidP="00FF44EE"/>
    <w:p w14:paraId="6B566B93" w14:textId="45B412F3" w:rsidR="00FF44EE" w:rsidRPr="0066023F" w:rsidRDefault="00FF44EE" w:rsidP="00FF44EE">
      <w:pPr>
        <w:rPr>
          <w:i/>
          <w:iCs/>
        </w:rPr>
      </w:pPr>
      <w:r w:rsidRPr="0066023F">
        <w:rPr>
          <w:i/>
          <w:iCs/>
        </w:rPr>
        <w:t>LEO LAW Topic</w:t>
      </w:r>
      <w:r w:rsidR="0066023F" w:rsidRPr="0066023F">
        <w:rPr>
          <w:i/>
          <w:iCs/>
        </w:rPr>
        <w:t>s 2-2, 2-5</w:t>
      </w:r>
      <w:r w:rsidR="0066023F">
        <w:rPr>
          <w:i/>
          <w:iCs/>
        </w:rPr>
        <w:t>, 2-11</w:t>
      </w:r>
      <w:r w:rsidRPr="0066023F">
        <w:rPr>
          <w:i/>
          <w:iCs/>
        </w:rPr>
        <w:t xml:space="preserve">: </w:t>
      </w:r>
      <w:r w:rsidR="0066023F" w:rsidRPr="0066023F">
        <w:rPr>
          <w:i/>
          <w:iCs/>
        </w:rPr>
        <w:t xml:space="preserve">The </w:t>
      </w:r>
      <w:r w:rsidR="007B67CD" w:rsidRPr="0066023F">
        <w:rPr>
          <w:i/>
          <w:iCs/>
        </w:rPr>
        <w:t>use of iPhone cameras to see through the tinted windows did not violate REP</w:t>
      </w:r>
      <w:r w:rsidR="0066023F" w:rsidRPr="0066023F">
        <w:rPr>
          <w:i/>
          <w:iCs/>
        </w:rPr>
        <w:t xml:space="preserve"> and therefore was not a search under the Fourth Amendment.</w:t>
      </w:r>
    </w:p>
    <w:p w14:paraId="6D69D61E" w14:textId="77777777" w:rsidR="00FF44EE" w:rsidRPr="0066023F" w:rsidRDefault="00FF44EE" w:rsidP="00FF44EE">
      <w:pPr>
        <w:rPr>
          <w:i/>
          <w:iCs/>
        </w:rPr>
      </w:pPr>
    </w:p>
    <w:p w14:paraId="10483683" w14:textId="77777777" w:rsidR="00FF44EE" w:rsidRDefault="00FF44EE" w:rsidP="00FF44EE">
      <w:r>
        <w:t>The case involves Christopher Poller, who was convicted by the United States District Court for the District of Connecticut for possession with intent to distribute fentanyl and cocaine base, and possession of a firearm in furtherance of a drug trafficking crime. Poller pleaded guilty but reserved the right to appeal the denial of his motion to suppress evidence seized from his vehicle, which included the drugs and firearms forming the basis of his charges.</w:t>
      </w:r>
    </w:p>
    <w:p w14:paraId="3D5FEB93" w14:textId="77777777" w:rsidR="00FF44EE" w:rsidRDefault="00FF44EE" w:rsidP="00FF44EE"/>
    <w:p w14:paraId="23DD31C8" w14:textId="77777777" w:rsidR="00FF44EE" w:rsidRDefault="00FF44EE" w:rsidP="00FF44EE">
      <w:r>
        <w:t>The District Court denied Poller's motion to suppress, concluding that the officers' use of iPhone cameras to see through the tinted windows of Poller's car did not violate his reasonable expectation of privacy. The court also found that even if the officers' physical touching of the car constituted a trespassory search, suppression was unwarranted because the trespass was not the but-for cause of obtaining the evidence.</w:t>
      </w:r>
    </w:p>
    <w:p w14:paraId="77CB9527" w14:textId="77777777" w:rsidR="00FF44EE" w:rsidRDefault="00FF44EE" w:rsidP="00FF44EE"/>
    <w:p w14:paraId="5EBBE82B" w14:textId="59CFA22C" w:rsidR="007E2C78" w:rsidRDefault="00FF44EE" w:rsidP="00FF44EE">
      <w:r>
        <w:t>The United States Court of Appeals for the Second Circuit held that Poller's expectation of privacy from all observation of the interior of his car was unreasonable. The use of iPhone cameras to view the car's interior did not transform those visual observations into "searches" under the Fourth Amendment. Additionally, assuming the officers' physical touching of the car constituted a trespassory search, suppression was unwarranted because the trespass was not the but-for cause of obtaining the evidence. Therefore, the Second Circuit affirmed the judgment of the district court.</w:t>
      </w:r>
    </w:p>
    <w:p w14:paraId="6106A024" w14:textId="77777777" w:rsidR="00FF44EE" w:rsidRDefault="00FF44EE" w:rsidP="00FF44EE"/>
    <w:p w14:paraId="1DA7D1E0" w14:textId="77777777" w:rsidR="00FF44EE" w:rsidRDefault="00FF44EE" w:rsidP="00FF44EE"/>
    <w:p w14:paraId="398937EC" w14:textId="77777777" w:rsidR="006F4AF0" w:rsidRPr="006F4AF0" w:rsidRDefault="006F4AF0" w:rsidP="006F4AF0">
      <w:pPr>
        <w:rPr>
          <w:b/>
          <w:bCs/>
        </w:rPr>
      </w:pPr>
      <w:r w:rsidRPr="006F4AF0">
        <w:rPr>
          <w:b/>
          <w:bCs/>
        </w:rPr>
        <w:t xml:space="preserve">United States v. </w:t>
      </w:r>
      <w:proofErr w:type="spellStart"/>
      <w:r w:rsidRPr="006F4AF0">
        <w:rPr>
          <w:b/>
          <w:bCs/>
        </w:rPr>
        <w:t>Devalois</w:t>
      </w:r>
      <w:proofErr w:type="spellEnd"/>
    </w:p>
    <w:p w14:paraId="28B1D15C" w14:textId="74C99D8B" w:rsidR="006F4AF0" w:rsidRDefault="006F4AF0" w:rsidP="006F4AF0">
      <w:r>
        <w:t>U.S. Court of Appeals for the Seventh Circuit</w:t>
      </w:r>
    </w:p>
    <w:p w14:paraId="48B97450" w14:textId="3D3ADEF4" w:rsidR="006F4AF0" w:rsidRDefault="006F4AF0" w:rsidP="006F4AF0">
      <w:r w:rsidRPr="006F4AF0">
        <w:t>February 14, 2025</w:t>
      </w:r>
    </w:p>
    <w:p w14:paraId="0DAFFC41" w14:textId="77777777" w:rsidR="006F4AF0" w:rsidRDefault="006F4AF0" w:rsidP="006F4AF0">
      <w:r>
        <w:t>Docket: 24-1787</w:t>
      </w:r>
    </w:p>
    <w:p w14:paraId="336CFF43" w14:textId="77777777" w:rsidR="006F4AF0" w:rsidRDefault="006F4AF0" w:rsidP="006F4AF0"/>
    <w:p w14:paraId="6FE66F3C" w14:textId="2D9D9EF4" w:rsidR="006F4AF0" w:rsidRPr="0066023F" w:rsidRDefault="006F4AF0" w:rsidP="006F4AF0">
      <w:pPr>
        <w:rPr>
          <w:i/>
          <w:iCs/>
        </w:rPr>
      </w:pPr>
      <w:r w:rsidRPr="0066023F">
        <w:rPr>
          <w:i/>
          <w:iCs/>
        </w:rPr>
        <w:t>LEO LAW Topics</w:t>
      </w:r>
      <w:r w:rsidR="0066023F" w:rsidRPr="0066023F">
        <w:rPr>
          <w:i/>
          <w:iCs/>
        </w:rPr>
        <w:t xml:space="preserve"> 10-3, 10-4</w:t>
      </w:r>
      <w:r w:rsidRPr="0066023F">
        <w:rPr>
          <w:i/>
          <w:iCs/>
        </w:rPr>
        <w:t>:</w:t>
      </w:r>
      <w:r w:rsidR="007B67CD" w:rsidRPr="0066023F">
        <w:rPr>
          <w:i/>
          <w:iCs/>
        </w:rPr>
        <w:t xml:space="preserve"> </w:t>
      </w:r>
      <w:r w:rsidR="0066023F" w:rsidRPr="0066023F">
        <w:rPr>
          <w:i/>
          <w:iCs/>
        </w:rPr>
        <w:t>The t</w:t>
      </w:r>
      <w:r w:rsidR="007B67CD" w:rsidRPr="0066023F">
        <w:rPr>
          <w:i/>
          <w:iCs/>
        </w:rPr>
        <w:t>raffic stop was not prolonged</w:t>
      </w:r>
      <w:r w:rsidR="0066023F" w:rsidRPr="0066023F">
        <w:rPr>
          <w:i/>
          <w:iCs/>
        </w:rPr>
        <w:t>;</w:t>
      </w:r>
      <w:r w:rsidR="007B67CD" w:rsidRPr="0066023F">
        <w:rPr>
          <w:i/>
          <w:iCs/>
        </w:rPr>
        <w:t xml:space="preserve"> therefore</w:t>
      </w:r>
      <w:r w:rsidR="0066023F" w:rsidRPr="0066023F">
        <w:rPr>
          <w:i/>
          <w:iCs/>
        </w:rPr>
        <w:t>,</w:t>
      </w:r>
      <w:r w:rsidR="007B67CD" w:rsidRPr="0066023F">
        <w:rPr>
          <w:i/>
          <w:iCs/>
        </w:rPr>
        <w:t xml:space="preserve"> </w:t>
      </w:r>
      <w:r w:rsidR="0066023F" w:rsidRPr="0066023F">
        <w:rPr>
          <w:i/>
          <w:iCs/>
        </w:rPr>
        <w:t xml:space="preserve">there was </w:t>
      </w:r>
      <w:r w:rsidR="007B67CD" w:rsidRPr="0066023F">
        <w:rPr>
          <w:i/>
          <w:iCs/>
        </w:rPr>
        <w:t xml:space="preserve">no taint on </w:t>
      </w:r>
      <w:r w:rsidR="0066023F" w:rsidRPr="0066023F">
        <w:rPr>
          <w:i/>
          <w:iCs/>
        </w:rPr>
        <w:t xml:space="preserve">the </w:t>
      </w:r>
      <w:r w:rsidR="007B67CD" w:rsidRPr="0066023F">
        <w:rPr>
          <w:i/>
          <w:iCs/>
        </w:rPr>
        <w:t>subsequent searches and seizures</w:t>
      </w:r>
      <w:r w:rsidR="0066023F" w:rsidRPr="0066023F">
        <w:rPr>
          <w:i/>
          <w:iCs/>
        </w:rPr>
        <w:t>.</w:t>
      </w:r>
    </w:p>
    <w:p w14:paraId="76463E44" w14:textId="77777777" w:rsidR="006F4AF0" w:rsidRDefault="006F4AF0" w:rsidP="006F4AF0"/>
    <w:p w14:paraId="7FCF9F13" w14:textId="77777777" w:rsidR="006F4AF0" w:rsidRDefault="006F4AF0" w:rsidP="006F4AF0">
      <w:r>
        <w:t xml:space="preserve">Police stopped Martin </w:t>
      </w:r>
      <w:proofErr w:type="spellStart"/>
      <w:r>
        <w:t>Devalois</w:t>
      </w:r>
      <w:proofErr w:type="spellEnd"/>
      <w:r>
        <w:t xml:space="preserve"> for a traffic violation. During the stop, a drug-sniffing dog alerted to narcotics in </w:t>
      </w:r>
      <w:proofErr w:type="spellStart"/>
      <w:r>
        <w:t>Devalois’s</w:t>
      </w:r>
      <w:proofErr w:type="spellEnd"/>
      <w:r>
        <w:t xml:space="preserve"> rental vehicle. Instead of complying with the police request to exit the car, </w:t>
      </w:r>
      <w:proofErr w:type="spellStart"/>
      <w:r>
        <w:t>Devalois</w:t>
      </w:r>
      <w:proofErr w:type="spellEnd"/>
      <w:r>
        <w:t xml:space="preserve"> initiated a high-speed chase that ended in a crash. Police searched the vehicle and found a small amount of marijuana and a gun. </w:t>
      </w:r>
      <w:proofErr w:type="spellStart"/>
      <w:r>
        <w:t>Devalois</w:t>
      </w:r>
      <w:proofErr w:type="spellEnd"/>
      <w:r>
        <w:t>, a convicted felon, was charged with illegally possessing a firearm. He moved to suppress the gun, arguing that the police unconstitutionally prolonged the traffic stop to conduct the dog sniff. The district court denied his motion, and a jury found him guilty.</w:t>
      </w:r>
    </w:p>
    <w:p w14:paraId="5B169D27" w14:textId="77777777" w:rsidR="006F4AF0" w:rsidRDefault="006F4AF0" w:rsidP="006F4AF0"/>
    <w:p w14:paraId="0D97C7C0" w14:textId="77777777" w:rsidR="006F4AF0" w:rsidRDefault="006F4AF0" w:rsidP="006F4AF0">
      <w:r>
        <w:t xml:space="preserve">The United States District Court for the Northern District of Indiana held a suppression hearing where the court found the police officer’s testimony credible and determined that the officer did not extend the length of the stop. The district court denied </w:t>
      </w:r>
      <w:proofErr w:type="spellStart"/>
      <w:r>
        <w:t>Devalois’s</w:t>
      </w:r>
      <w:proofErr w:type="spellEnd"/>
      <w:r>
        <w:t xml:space="preserve"> motion to suppress the gun, and the jury </w:t>
      </w:r>
      <w:r>
        <w:lastRenderedPageBreak/>
        <w:t xml:space="preserve">subsequently found him guilty of the firearm charge. </w:t>
      </w:r>
      <w:proofErr w:type="spellStart"/>
      <w:r>
        <w:t>Devalois</w:t>
      </w:r>
      <w:proofErr w:type="spellEnd"/>
      <w:r>
        <w:t xml:space="preserve"> was sentenced to 92 months’ imprisonment and appealed the denial of his motion to suppress.</w:t>
      </w:r>
    </w:p>
    <w:p w14:paraId="12D6B76B" w14:textId="77777777" w:rsidR="006F4AF0" w:rsidRDefault="006F4AF0" w:rsidP="006F4AF0"/>
    <w:p w14:paraId="387AFC50" w14:textId="22C6801B" w:rsidR="00FF44EE" w:rsidRDefault="006F4AF0" w:rsidP="006F4AF0">
      <w:r>
        <w:t xml:space="preserve">The United States Court of Appeals for the Seventh Circuit found that the district court’s factual finding that the officer did not prolong the traffic stop was not clearly erroneous. The court held that the officer’s actions during the stop were within the mission of the traffic stop and did not unlawfully extend its duration. The court also held that the dog sniff did not violate the Fourth Amendment as it was conducted while the officer was still diligently pursuing the stop’s mission. Consequently, the search of the vehicle and the seizure of the gun were lawful. The Seventh Circuit affirmed the district court’s decision denying </w:t>
      </w:r>
      <w:proofErr w:type="spellStart"/>
      <w:r>
        <w:t>Devalois’s</w:t>
      </w:r>
      <w:proofErr w:type="spellEnd"/>
      <w:r>
        <w:t xml:space="preserve"> motion to suppress the </w:t>
      </w:r>
      <w:r w:rsidR="0066023F">
        <w:t>firearm</w:t>
      </w:r>
      <w:r>
        <w:t>.</w:t>
      </w:r>
    </w:p>
    <w:p w14:paraId="0D5632DA" w14:textId="77777777" w:rsidR="006F4AF0" w:rsidRDefault="006F4AF0" w:rsidP="006F4AF0"/>
    <w:p w14:paraId="1F6988F4" w14:textId="77777777" w:rsidR="006F4AF0" w:rsidRDefault="006F4AF0" w:rsidP="006F4AF0"/>
    <w:p w14:paraId="71AC0699" w14:textId="7DE1CC1B" w:rsidR="006F4AF0" w:rsidRPr="003A31FE" w:rsidRDefault="003A31FE" w:rsidP="006F4AF0">
      <w:pPr>
        <w:rPr>
          <w:b/>
          <w:bCs/>
          <w:sz w:val="28"/>
          <w:szCs w:val="28"/>
        </w:rPr>
      </w:pPr>
      <w:r w:rsidRPr="003A31FE">
        <w:rPr>
          <w:b/>
          <w:bCs/>
          <w:sz w:val="28"/>
          <w:szCs w:val="28"/>
        </w:rPr>
        <w:t>USE OF FORCE</w:t>
      </w:r>
    </w:p>
    <w:p w14:paraId="341D01BC" w14:textId="77777777" w:rsidR="003A31FE" w:rsidRDefault="003A31FE" w:rsidP="006F4AF0"/>
    <w:p w14:paraId="1EFF1102" w14:textId="7CA90698" w:rsidR="003A31FE" w:rsidRPr="007B67CD" w:rsidRDefault="003A31FE" w:rsidP="003A31FE">
      <w:pPr>
        <w:rPr>
          <w:b/>
          <w:bCs/>
        </w:rPr>
      </w:pPr>
      <w:r w:rsidRPr="007B67CD">
        <w:rPr>
          <w:b/>
          <w:bCs/>
        </w:rPr>
        <w:t xml:space="preserve">Estate of Jason Waterhouse v. </w:t>
      </w:r>
      <w:proofErr w:type="spellStart"/>
      <w:r w:rsidRPr="007B67CD">
        <w:rPr>
          <w:b/>
          <w:bCs/>
        </w:rPr>
        <w:t>Direzza</w:t>
      </w:r>
      <w:proofErr w:type="spellEnd"/>
    </w:p>
    <w:p w14:paraId="35F1A3C6" w14:textId="70044AC7" w:rsidR="003A31FE" w:rsidRDefault="003A31FE" w:rsidP="003A31FE">
      <w:r>
        <w:t>U.S. Court of Appeals for the Tenth Circuit</w:t>
      </w:r>
    </w:p>
    <w:p w14:paraId="1224AE9C" w14:textId="1FE87390" w:rsidR="003A31FE" w:rsidRDefault="003A31FE" w:rsidP="003A31FE">
      <w:r w:rsidRPr="003A31FE">
        <w:t>February 20, 2025</w:t>
      </w:r>
    </w:p>
    <w:p w14:paraId="244B5BAF" w14:textId="77777777" w:rsidR="003A31FE" w:rsidRDefault="003A31FE" w:rsidP="003A31FE">
      <w:r>
        <w:t>Docket: 23-1360</w:t>
      </w:r>
    </w:p>
    <w:p w14:paraId="7A090736" w14:textId="77777777" w:rsidR="003A31FE" w:rsidRDefault="003A31FE" w:rsidP="003A31FE"/>
    <w:p w14:paraId="356E1A4E" w14:textId="40E0A8F0" w:rsidR="003A31FE" w:rsidRPr="0066023F" w:rsidRDefault="003A31FE" w:rsidP="003A31FE">
      <w:pPr>
        <w:rPr>
          <w:i/>
          <w:iCs/>
        </w:rPr>
      </w:pPr>
      <w:r w:rsidRPr="0066023F">
        <w:rPr>
          <w:i/>
          <w:iCs/>
        </w:rPr>
        <w:t>LEO LAW Topic</w:t>
      </w:r>
      <w:r w:rsidR="0066023F" w:rsidRPr="0066023F">
        <w:rPr>
          <w:i/>
          <w:iCs/>
        </w:rPr>
        <w:t xml:space="preserve"> 8-3</w:t>
      </w:r>
      <w:r w:rsidRPr="0066023F">
        <w:rPr>
          <w:i/>
          <w:iCs/>
        </w:rPr>
        <w:t xml:space="preserve">: </w:t>
      </w:r>
      <w:r w:rsidR="0066023F" w:rsidRPr="0066023F">
        <w:rPr>
          <w:i/>
          <w:iCs/>
        </w:rPr>
        <w:t xml:space="preserve">The </w:t>
      </w:r>
      <w:r w:rsidR="007B67CD" w:rsidRPr="0066023F">
        <w:rPr>
          <w:i/>
          <w:iCs/>
        </w:rPr>
        <w:t>use of deadly force objectively reasonable under totality of circumstances</w:t>
      </w:r>
      <w:r w:rsidR="0066023F" w:rsidRPr="0066023F">
        <w:rPr>
          <w:i/>
          <w:iCs/>
        </w:rPr>
        <w:t>.</w:t>
      </w:r>
    </w:p>
    <w:p w14:paraId="5BF3E3E6" w14:textId="77777777" w:rsidR="003A31FE" w:rsidRPr="0066023F" w:rsidRDefault="003A31FE" w:rsidP="003A31FE">
      <w:pPr>
        <w:rPr>
          <w:i/>
          <w:iCs/>
        </w:rPr>
      </w:pPr>
    </w:p>
    <w:p w14:paraId="367AC5EC" w14:textId="77777777" w:rsidR="003A31FE" w:rsidRDefault="003A31FE" w:rsidP="003A31FE">
      <w:r>
        <w:t xml:space="preserve">Jason Waterhouse, high on methamphetamine, barricaded himself in his sister's basement and started a fire when Lakewood Police Department officers arrived. After an hour of failed negotiations, seven officers entered the basement to extract him and locate the fire. Sergeant Marc </w:t>
      </w:r>
      <w:proofErr w:type="spellStart"/>
      <w:r>
        <w:t>Direzza</w:t>
      </w:r>
      <w:proofErr w:type="spellEnd"/>
      <w:r>
        <w:t xml:space="preserve">, providing lethal cover, was among the last two officers in the basement when Waterhouse burst out of a bedroom and rushed towards them. Another officer fired a beanbag shotgun, and </w:t>
      </w:r>
      <w:proofErr w:type="spellStart"/>
      <w:r>
        <w:t>Direzza</w:t>
      </w:r>
      <w:proofErr w:type="spellEnd"/>
      <w:r>
        <w:t xml:space="preserve"> fired his pistol, killing Waterhouse with a shot to the back.</w:t>
      </w:r>
    </w:p>
    <w:p w14:paraId="1F07C0A2" w14:textId="77777777" w:rsidR="003A31FE" w:rsidRDefault="003A31FE" w:rsidP="003A31FE"/>
    <w:p w14:paraId="0775CEC9" w14:textId="77777777" w:rsidR="003A31FE" w:rsidRDefault="003A31FE" w:rsidP="003A31FE">
      <w:r>
        <w:t xml:space="preserve">The Estate of Jason Waterhouse filed a Fourth Amendment </w:t>
      </w:r>
      <w:proofErr w:type="gramStart"/>
      <w:r>
        <w:t>excessive-force</w:t>
      </w:r>
      <w:proofErr w:type="gramEnd"/>
      <w:r>
        <w:t xml:space="preserve"> claim under 42 U.S.C. § 1983 in the United States District Court for the District of Colorado. The district court granted summary judgment in favor of Sergeant </w:t>
      </w:r>
      <w:proofErr w:type="spellStart"/>
      <w:r>
        <w:t>Direzza</w:t>
      </w:r>
      <w:proofErr w:type="spellEnd"/>
      <w:r>
        <w:t xml:space="preserve">, concluding he was entitled to qualified immunity. The court found that </w:t>
      </w:r>
      <w:proofErr w:type="spellStart"/>
      <w:r>
        <w:t>Direzza's</w:t>
      </w:r>
      <w:proofErr w:type="spellEnd"/>
      <w:r>
        <w:t xml:space="preserve"> use of lethal force was reasonable under the circumstances and did not violate clearly established law. The district court also dismissed a state-law wrongful-death claim without prejudice.</w:t>
      </w:r>
    </w:p>
    <w:p w14:paraId="4D8AB6E2" w14:textId="77777777" w:rsidR="003A31FE" w:rsidRDefault="003A31FE" w:rsidP="003A31FE"/>
    <w:p w14:paraId="061B88D3" w14:textId="05BDC865" w:rsidR="006F4AF0" w:rsidRDefault="003A31FE" w:rsidP="003A31FE">
      <w:r>
        <w:t xml:space="preserve">The United States Court of Appeals for the Tenth Circuit affirmed the district court's summary judgment, holding that Sergeant </w:t>
      </w:r>
      <w:proofErr w:type="spellStart"/>
      <w:r>
        <w:t>Direzza</w:t>
      </w:r>
      <w:proofErr w:type="spellEnd"/>
      <w:r>
        <w:t xml:space="preserve"> was entitled to qualified immunity. The court determined that </w:t>
      </w:r>
      <w:proofErr w:type="spellStart"/>
      <w:r>
        <w:t>Direzza's</w:t>
      </w:r>
      <w:proofErr w:type="spellEnd"/>
      <w:r>
        <w:t xml:space="preserve"> use of lethal force was objectively reasonable given the dangerous circumstances, including the fire and smoke, and the perceived threat posed by Waterhouse. The court also affirmed the dismissal of the wrongful-death claim, as it was contingent on the outcome of the excessive-force claim.</w:t>
      </w:r>
    </w:p>
    <w:sectPr w:rsidR="006F4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C78"/>
    <w:rsid w:val="00006445"/>
    <w:rsid w:val="000A462B"/>
    <w:rsid w:val="003A31FE"/>
    <w:rsid w:val="004B4A9B"/>
    <w:rsid w:val="00533A48"/>
    <w:rsid w:val="0066023F"/>
    <w:rsid w:val="006F4AF0"/>
    <w:rsid w:val="007B67CD"/>
    <w:rsid w:val="007D2097"/>
    <w:rsid w:val="007E2C78"/>
    <w:rsid w:val="00A45B45"/>
    <w:rsid w:val="00B73437"/>
    <w:rsid w:val="00BD1C8F"/>
    <w:rsid w:val="00C01662"/>
    <w:rsid w:val="00D80096"/>
    <w:rsid w:val="00DB09C5"/>
    <w:rsid w:val="00FF4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D8790"/>
  <w15:chartTrackingRefBased/>
  <w15:docId w15:val="{B443AE8C-D267-44F0-8F19-70633C30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C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C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C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C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C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C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C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C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C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C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C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C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C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C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C78"/>
    <w:rPr>
      <w:rFonts w:eastAsiaTheme="majorEastAsia" w:cstheme="majorBidi"/>
      <w:color w:val="272727" w:themeColor="text1" w:themeTint="D8"/>
    </w:rPr>
  </w:style>
  <w:style w:type="paragraph" w:styleId="Title">
    <w:name w:val="Title"/>
    <w:basedOn w:val="Normal"/>
    <w:next w:val="Normal"/>
    <w:link w:val="TitleChar"/>
    <w:uiPriority w:val="10"/>
    <w:qFormat/>
    <w:rsid w:val="007E2C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C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C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2C78"/>
    <w:rPr>
      <w:i/>
      <w:iCs/>
      <w:color w:val="404040" w:themeColor="text1" w:themeTint="BF"/>
    </w:rPr>
  </w:style>
  <w:style w:type="paragraph" w:styleId="ListParagraph">
    <w:name w:val="List Paragraph"/>
    <w:basedOn w:val="Normal"/>
    <w:uiPriority w:val="34"/>
    <w:qFormat/>
    <w:rsid w:val="007E2C78"/>
    <w:pPr>
      <w:ind w:left="720"/>
      <w:contextualSpacing/>
    </w:pPr>
  </w:style>
  <w:style w:type="character" w:styleId="IntenseEmphasis">
    <w:name w:val="Intense Emphasis"/>
    <w:basedOn w:val="DefaultParagraphFont"/>
    <w:uiPriority w:val="21"/>
    <w:qFormat/>
    <w:rsid w:val="007E2C78"/>
    <w:rPr>
      <w:i/>
      <w:iCs/>
      <w:color w:val="2F5496" w:themeColor="accent1" w:themeShade="BF"/>
    </w:rPr>
  </w:style>
  <w:style w:type="paragraph" w:styleId="IntenseQuote">
    <w:name w:val="Intense Quote"/>
    <w:basedOn w:val="Normal"/>
    <w:next w:val="Normal"/>
    <w:link w:val="IntenseQuoteChar"/>
    <w:uiPriority w:val="30"/>
    <w:qFormat/>
    <w:rsid w:val="007E2C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C78"/>
    <w:rPr>
      <w:i/>
      <w:iCs/>
      <w:color w:val="2F5496" w:themeColor="accent1" w:themeShade="BF"/>
    </w:rPr>
  </w:style>
  <w:style w:type="character" w:styleId="IntenseReference">
    <w:name w:val="Intense Reference"/>
    <w:basedOn w:val="DefaultParagraphFont"/>
    <w:uiPriority w:val="32"/>
    <w:qFormat/>
    <w:rsid w:val="007E2C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874</Words>
  <Characters>4661</Characters>
  <Application>Microsoft Office Word</Application>
  <DocSecurity>0</DocSecurity>
  <Lines>87</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2025-02-21T20:00:00Z</dcterms:created>
  <dcterms:modified xsi:type="dcterms:W3CDTF">2025-07-06T12:50:00Z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ee8c0019-227d-4e65-84eb-a18b8398f341</vt:lpwstr>
  </property>
</Properties>
</file>