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8435F" w14:textId="7555D92C" w:rsidR="00D41EC4" w:rsidRDefault="00C6654F" w:rsidP="001B4C2F">
      <w:pPr>
        <w:spacing w:after="0" w:line="240" w:lineRule="auto"/>
      </w:pPr>
      <w:r>
        <w:t>CASES 23JAN2026</w:t>
      </w:r>
    </w:p>
    <w:p w14:paraId="430834A1" w14:textId="77777777" w:rsidR="00C6654F" w:rsidRDefault="00C6654F" w:rsidP="001B4C2F">
      <w:pPr>
        <w:spacing w:after="0" w:line="240" w:lineRule="auto"/>
      </w:pPr>
    </w:p>
    <w:p w14:paraId="68706005" w14:textId="77777777" w:rsidR="001B4C2F" w:rsidRPr="001B4C2F" w:rsidRDefault="001B4C2F" w:rsidP="001B4C2F">
      <w:pPr>
        <w:spacing w:after="0" w:line="240" w:lineRule="auto"/>
        <w:rPr>
          <w:b/>
          <w:bCs/>
        </w:rPr>
      </w:pPr>
      <w:r w:rsidRPr="001B4C2F">
        <w:rPr>
          <w:b/>
          <w:bCs/>
        </w:rPr>
        <w:t>United States v. Erving</w:t>
      </w:r>
    </w:p>
    <w:p w14:paraId="0CF31C2B" w14:textId="6BFFC3FB" w:rsidR="001B4C2F" w:rsidRDefault="001B4C2F" w:rsidP="001B4C2F">
      <w:pPr>
        <w:spacing w:after="0" w:line="240" w:lineRule="auto"/>
      </w:pPr>
      <w:r>
        <w:t>U.S. Court of Appeals for the Seventh Circuit</w:t>
      </w:r>
    </w:p>
    <w:p w14:paraId="5593E0C9" w14:textId="1F1C0924" w:rsidR="001B4C2F" w:rsidRDefault="001B4C2F" w:rsidP="001B4C2F">
      <w:pPr>
        <w:spacing w:after="0" w:line="240" w:lineRule="auto"/>
      </w:pPr>
      <w:r>
        <w:t>23-2828</w:t>
      </w:r>
    </w:p>
    <w:p w14:paraId="57A78682" w14:textId="725ED610" w:rsidR="001B4C2F" w:rsidRDefault="001B4C2F" w:rsidP="001B4C2F">
      <w:pPr>
        <w:spacing w:after="0" w:line="240" w:lineRule="auto"/>
      </w:pPr>
      <w:r>
        <w:t>January 20, 2026</w:t>
      </w:r>
    </w:p>
    <w:p w14:paraId="50E005C3" w14:textId="77777777" w:rsidR="001B4C2F" w:rsidRDefault="001B4C2F" w:rsidP="001B4C2F">
      <w:pPr>
        <w:spacing w:after="0" w:line="240" w:lineRule="auto"/>
      </w:pPr>
    </w:p>
    <w:p w14:paraId="36B0DA3C" w14:textId="3D55CE91" w:rsidR="001B4C2F" w:rsidRDefault="001B4C2F" w:rsidP="001B4C2F">
      <w:pPr>
        <w:spacing w:after="0" w:line="240" w:lineRule="auto"/>
      </w:pPr>
      <w:r>
        <w:t>Summary</w:t>
      </w:r>
    </w:p>
    <w:p w14:paraId="39B0EFDC" w14:textId="77777777" w:rsidR="001B4C2F" w:rsidRDefault="001B4C2F" w:rsidP="001B4C2F">
      <w:pPr>
        <w:spacing w:after="0" w:line="240" w:lineRule="auto"/>
      </w:pPr>
    </w:p>
    <w:p w14:paraId="53EEB060" w14:textId="77777777" w:rsidR="001B4C2F" w:rsidRDefault="001B4C2F" w:rsidP="001B4C2F">
      <w:pPr>
        <w:spacing w:after="0" w:line="240" w:lineRule="auto"/>
      </w:pPr>
      <w:r>
        <w:t xml:space="preserve">A police officer in Peoria, Illinois, encountered a parked vehicle in a closed, dark parking lot at around 2:45 a.m. Inside the vehicle were </w:t>
      </w:r>
      <w:proofErr w:type="spellStart"/>
      <w:r>
        <w:t>Dazmine</w:t>
      </w:r>
      <w:proofErr w:type="spellEnd"/>
      <w:r>
        <w:t xml:space="preserve"> Erving and a female companion. The officer observed Erving make a sudden movement that appeared to be an attempt to hide something, smelled burnt cannabis, and noticed the woman provided false identification information. The officer determined that Erving was on federal supervised release for a weapons offense, only twelve days into his release. After allowing both individuals to retrieve their belongings, the officer conducted a limited search under the driver’s seat, where he discovered a handgun. Erving admitted ownership of the firearm.</w:t>
      </w:r>
    </w:p>
    <w:p w14:paraId="06F12A78" w14:textId="77777777" w:rsidR="001B4C2F" w:rsidRDefault="001B4C2F" w:rsidP="001B4C2F">
      <w:pPr>
        <w:spacing w:after="0" w:line="240" w:lineRule="auto"/>
      </w:pPr>
    </w:p>
    <w:p w14:paraId="6CF6FE08" w14:textId="4997E930" w:rsidR="001B4C2F" w:rsidRDefault="001B4C2F" w:rsidP="001B4C2F">
      <w:pPr>
        <w:spacing w:after="0" w:line="240" w:lineRule="auto"/>
      </w:pPr>
      <w:r>
        <w:t>The United States District Court for the Central District of Illinois reviewed Erving’s motion to suppress the firearm, arguing the search was not justified under the Fourth Amendment. The district court found the officer’s testimony credible and held that, considering the totality of circumstances—furtive movement, odor of cannabis, Erving’s criminal history, and his companion’s false statements—a protective search was warranted. Erving’s motion to suppress was denied. He then pleaded guilty to unlawful possession of a firearm as a felon and admitted to violating supervised release</w:t>
      </w:r>
      <w:r w:rsidR="004709CA">
        <w:t xml:space="preserve"> and was sentenced. </w:t>
      </w:r>
    </w:p>
    <w:p w14:paraId="5A7C5AD6" w14:textId="77777777" w:rsidR="001B4C2F" w:rsidRDefault="001B4C2F" w:rsidP="001B4C2F">
      <w:pPr>
        <w:spacing w:after="0" w:line="240" w:lineRule="auto"/>
      </w:pPr>
    </w:p>
    <w:p w14:paraId="70900D26" w14:textId="11419A9B" w:rsidR="00C6654F" w:rsidRDefault="001B4C2F" w:rsidP="001B4C2F">
      <w:pPr>
        <w:spacing w:after="0" w:line="240" w:lineRule="auto"/>
      </w:pPr>
      <w:r>
        <w:t xml:space="preserve">On appeal, the United States Court of Appeals for the Seventh Circuit </w:t>
      </w:r>
      <w:r w:rsidR="004709CA">
        <w:t>held</w:t>
      </w:r>
      <w:r>
        <w:t xml:space="preserve"> the protective search </w:t>
      </w:r>
      <w:r w:rsidR="004709CA">
        <w:t>was lawful</w:t>
      </w:r>
      <w:r>
        <w:t xml:space="preserve"> under the Fourth Amendment, as the officer had reasonable suspicion that Erving was dangerous and could gain immediate access to a weapon. </w:t>
      </w:r>
      <w:proofErr w:type="spellStart"/>
      <w:r w:rsidR="004709CA">
        <w:t>According</w:t>
      </w:r>
      <w:r>
        <w:t>The</w:t>
      </w:r>
      <w:proofErr w:type="spellEnd"/>
      <w:r>
        <w:t xml:space="preserve"> denial of the suppression motion and the sentencing decision were affirmed.</w:t>
      </w:r>
    </w:p>
    <w:p w14:paraId="4A990D15" w14:textId="77777777" w:rsidR="001B4C2F" w:rsidRDefault="001B4C2F" w:rsidP="001B4C2F">
      <w:pPr>
        <w:spacing w:after="0" w:line="240" w:lineRule="auto"/>
      </w:pPr>
    </w:p>
    <w:p w14:paraId="165E24CF" w14:textId="5FE6030F" w:rsidR="001B4C2F" w:rsidRDefault="00000000" w:rsidP="001B4C2F">
      <w:pPr>
        <w:spacing w:after="0" w:line="240" w:lineRule="auto"/>
      </w:pPr>
      <w:hyperlink r:id="rId4" w:history="1">
        <w:r w:rsidR="001B4C2F" w:rsidRPr="00C954EB">
          <w:rPr>
            <w:rStyle w:val="Hyperlink"/>
          </w:rPr>
          <w:t>https://cases.justia.com/federal/appellate-courts/ca7/23-2828/23-2828-2026-01-20.pdf</w:t>
        </w:r>
      </w:hyperlink>
      <w:r w:rsidR="001B4C2F">
        <w:t xml:space="preserve"> </w:t>
      </w:r>
    </w:p>
    <w:p w14:paraId="068C5363" w14:textId="77777777" w:rsidR="001B4C2F" w:rsidRDefault="001B4C2F" w:rsidP="001B4C2F">
      <w:pPr>
        <w:spacing w:after="0" w:line="240" w:lineRule="auto"/>
      </w:pPr>
    </w:p>
    <w:p w14:paraId="33228528" w14:textId="4E5B27DF" w:rsidR="001B4C2F" w:rsidRDefault="001B4C2F">
      <w:r>
        <w:br w:type="page"/>
      </w:r>
    </w:p>
    <w:p w14:paraId="25B66034" w14:textId="77777777" w:rsidR="001B4C2F" w:rsidRPr="001B4C2F" w:rsidRDefault="001B4C2F" w:rsidP="001B4C2F">
      <w:pPr>
        <w:spacing w:after="0" w:line="240" w:lineRule="auto"/>
        <w:rPr>
          <w:b/>
          <w:bCs/>
        </w:rPr>
      </w:pPr>
      <w:r w:rsidRPr="001B4C2F">
        <w:rPr>
          <w:b/>
          <w:bCs/>
        </w:rPr>
        <w:lastRenderedPageBreak/>
        <w:t>Ervin v. United States</w:t>
      </w:r>
    </w:p>
    <w:p w14:paraId="61AA7BC5" w14:textId="7059E89B" w:rsidR="001B4C2F" w:rsidRDefault="001B4C2F" w:rsidP="001B4C2F">
      <w:pPr>
        <w:spacing w:after="0" w:line="240" w:lineRule="auto"/>
      </w:pPr>
      <w:r>
        <w:t>District of Columbia Court of Appeals</w:t>
      </w:r>
    </w:p>
    <w:p w14:paraId="16A8C1E9" w14:textId="148862FF" w:rsidR="001B4C2F" w:rsidRDefault="001B4C2F" w:rsidP="001B4C2F">
      <w:pPr>
        <w:spacing w:after="0" w:line="240" w:lineRule="auto"/>
      </w:pPr>
      <w:r>
        <w:t>24-CF-0803</w:t>
      </w:r>
    </w:p>
    <w:p w14:paraId="6D6C7ED1" w14:textId="78248E94" w:rsidR="001B4C2F" w:rsidRDefault="001B4C2F" w:rsidP="001B4C2F">
      <w:pPr>
        <w:spacing w:after="0" w:line="240" w:lineRule="auto"/>
      </w:pPr>
      <w:r>
        <w:t>January 22, 2026</w:t>
      </w:r>
    </w:p>
    <w:p w14:paraId="764A1B32" w14:textId="77777777" w:rsidR="001B4C2F" w:rsidRDefault="001B4C2F" w:rsidP="001B4C2F">
      <w:pPr>
        <w:spacing w:after="0" w:line="240" w:lineRule="auto"/>
      </w:pPr>
    </w:p>
    <w:p w14:paraId="7EE8346D" w14:textId="22ED3232" w:rsidR="001B4C2F" w:rsidRDefault="001B4C2F" w:rsidP="001B4C2F">
      <w:pPr>
        <w:spacing w:after="0" w:line="240" w:lineRule="auto"/>
      </w:pPr>
      <w:r>
        <w:t xml:space="preserve">Summary: </w:t>
      </w:r>
    </w:p>
    <w:p w14:paraId="2D3030A9" w14:textId="77777777" w:rsidR="001B4C2F" w:rsidRDefault="001B4C2F" w:rsidP="001B4C2F">
      <w:pPr>
        <w:spacing w:after="0" w:line="240" w:lineRule="auto"/>
      </w:pPr>
    </w:p>
    <w:p w14:paraId="2CC78F00" w14:textId="77777777" w:rsidR="001B4C2F" w:rsidRDefault="001B4C2F" w:rsidP="001B4C2F">
      <w:pPr>
        <w:spacing w:after="0" w:line="240" w:lineRule="auto"/>
      </w:pPr>
      <w:r>
        <w:t>Police officers encountered a man at a playground in a public park while he was with his daughter and partner. The officers were conducting a patrol and had observed a group they suspected of smoking marijuana. The man had walked away from the group to rejoin his family. Five armed, uniformed officers approached and encircled him, with two officers standing within arm's reach and three others positioned nearby. One officer asked if the man had a firearm, and he admitted that he did; officers then frisked him and recovered a gun from his waistband.</w:t>
      </w:r>
    </w:p>
    <w:p w14:paraId="7EC5B10A" w14:textId="77777777" w:rsidR="001B4C2F" w:rsidRDefault="001B4C2F" w:rsidP="001B4C2F">
      <w:pPr>
        <w:spacing w:after="0" w:line="240" w:lineRule="auto"/>
      </w:pPr>
    </w:p>
    <w:p w14:paraId="0125B5C3" w14:textId="77777777" w:rsidR="001B4C2F" w:rsidRDefault="001B4C2F" w:rsidP="001B4C2F">
      <w:pPr>
        <w:spacing w:after="0" w:line="240" w:lineRule="auto"/>
      </w:pPr>
      <w:r>
        <w:t>The Superior Court of the District of Columbia held a hearing on a motion to suppress the firearm. The trial court found that the defendant was not seized until after he admitted to possessing a firearm and officers physically restrained him. The court emphasized the officers’ cordial tone, the brief nature of the encounter, and the public setting, and denied the motion to suppress. The case proceeded to trial, and a jury convicted the defendant of unlawful possession of a firearm, carrying a pistol without a license, and possession of an unregistered firearm.</w:t>
      </w:r>
    </w:p>
    <w:p w14:paraId="1EBAA753" w14:textId="77777777" w:rsidR="001B4C2F" w:rsidRDefault="001B4C2F" w:rsidP="001B4C2F">
      <w:pPr>
        <w:spacing w:after="0" w:line="240" w:lineRule="auto"/>
      </w:pPr>
    </w:p>
    <w:p w14:paraId="1A1575C6" w14:textId="114FD397" w:rsidR="001B4C2F" w:rsidRDefault="004709CA" w:rsidP="001B4C2F">
      <w:pPr>
        <w:spacing w:after="0" w:line="240" w:lineRule="auto"/>
      </w:pPr>
      <w:r>
        <w:t>On appeal, t</w:t>
      </w:r>
      <w:r w:rsidR="001B4C2F">
        <w:t xml:space="preserve">he District of Columbia Court of Appeals held that the defendant was seized for Fourth Amendment purposes before he admitted to possessing a firearm, when five officers encircled and focused exclusively on him, blocking his exits and asking accusatory questions. The court concluded that this seizure was unsupported by reasonable articulable suspicion and </w:t>
      </w:r>
      <w:r w:rsidR="00E0681C">
        <w:t>therefore was</w:t>
      </w:r>
      <w:r w:rsidR="001B4C2F">
        <w:t xml:space="preserve"> unlawful. It reversed all convictions, holding that the firearm should have been suppressed as the fruit of the unlawful seizure, and remanded the case for further proceedings.</w:t>
      </w:r>
    </w:p>
    <w:p w14:paraId="49A80B96" w14:textId="77777777" w:rsidR="001B4C2F" w:rsidRDefault="001B4C2F" w:rsidP="001B4C2F">
      <w:pPr>
        <w:spacing w:after="0" w:line="240" w:lineRule="auto"/>
      </w:pPr>
    </w:p>
    <w:p w14:paraId="4E432EDA" w14:textId="5ECD165C" w:rsidR="001B4C2F" w:rsidRDefault="00000000" w:rsidP="001B4C2F">
      <w:pPr>
        <w:spacing w:after="0" w:line="240" w:lineRule="auto"/>
      </w:pPr>
      <w:hyperlink r:id="rId5" w:history="1">
        <w:r w:rsidR="001B4C2F" w:rsidRPr="00B20B69">
          <w:rPr>
            <w:rStyle w:val="Hyperlink"/>
          </w:rPr>
          <w:t>https://cases.justia.com/district-of-columbia/court-of-appeals/2026-24-cf-0803.pdf</w:t>
        </w:r>
      </w:hyperlink>
      <w:r w:rsidR="001B4C2F">
        <w:t xml:space="preserve"> </w:t>
      </w:r>
    </w:p>
    <w:p w14:paraId="2B038FF6" w14:textId="77777777" w:rsidR="001B4C2F" w:rsidRDefault="001B4C2F" w:rsidP="001B4C2F">
      <w:pPr>
        <w:spacing w:after="0" w:line="240" w:lineRule="auto"/>
      </w:pPr>
    </w:p>
    <w:p w14:paraId="719EA81A" w14:textId="6EA3CF39" w:rsidR="001B4C2F" w:rsidRDefault="001B4C2F">
      <w:r>
        <w:br w:type="page"/>
      </w:r>
    </w:p>
    <w:p w14:paraId="2F54F95C" w14:textId="77777777" w:rsidR="00AF7C23" w:rsidRPr="00AF7C23" w:rsidRDefault="00AF7C23" w:rsidP="00AF7C23">
      <w:pPr>
        <w:spacing w:after="0" w:line="240" w:lineRule="auto"/>
        <w:rPr>
          <w:b/>
          <w:bCs/>
        </w:rPr>
      </w:pPr>
      <w:proofErr w:type="spellStart"/>
      <w:r w:rsidRPr="00AF7C23">
        <w:rPr>
          <w:b/>
          <w:bCs/>
        </w:rPr>
        <w:lastRenderedPageBreak/>
        <w:t>Zemlick</w:t>
      </w:r>
      <w:proofErr w:type="spellEnd"/>
      <w:r w:rsidRPr="00AF7C23">
        <w:rPr>
          <w:b/>
          <w:bCs/>
        </w:rPr>
        <w:t xml:space="preserve"> v. Burkhart</w:t>
      </w:r>
    </w:p>
    <w:p w14:paraId="153A8BBD" w14:textId="48F71C62" w:rsidR="00AF7C23" w:rsidRDefault="00AF7C23" w:rsidP="00AF7C23">
      <w:pPr>
        <w:spacing w:after="0" w:line="240" w:lineRule="auto"/>
      </w:pPr>
      <w:r>
        <w:t>U.S. Court of Appeals for the Seventh Circuit</w:t>
      </w:r>
    </w:p>
    <w:p w14:paraId="291A19E3" w14:textId="6B4F425F" w:rsidR="00AF7C23" w:rsidRDefault="00AF7C23" w:rsidP="00AF7C23">
      <w:pPr>
        <w:spacing w:after="0" w:line="240" w:lineRule="auto"/>
      </w:pPr>
      <w:r>
        <w:t>24-2799</w:t>
      </w:r>
    </w:p>
    <w:p w14:paraId="1FA1700D" w14:textId="23A40625" w:rsidR="00AF7C23" w:rsidRDefault="00AF7C23" w:rsidP="00AF7C23">
      <w:pPr>
        <w:spacing w:after="0" w:line="240" w:lineRule="auto"/>
      </w:pPr>
      <w:r>
        <w:t>January 22, 2026</w:t>
      </w:r>
    </w:p>
    <w:p w14:paraId="0F5458F9" w14:textId="77777777" w:rsidR="00AF7C23" w:rsidRDefault="00AF7C23" w:rsidP="00AF7C23">
      <w:pPr>
        <w:spacing w:after="0" w:line="240" w:lineRule="auto"/>
      </w:pPr>
    </w:p>
    <w:p w14:paraId="703B5A19" w14:textId="3DEFB71B" w:rsidR="00AF7C23" w:rsidRDefault="00AF7C23" w:rsidP="00AF7C23">
      <w:pPr>
        <w:spacing w:after="0" w:line="240" w:lineRule="auto"/>
      </w:pPr>
      <w:r>
        <w:t xml:space="preserve">Summary: </w:t>
      </w:r>
    </w:p>
    <w:p w14:paraId="2FFC53FD" w14:textId="77777777" w:rsidR="00AF7C23" w:rsidRDefault="00AF7C23" w:rsidP="00AF7C23">
      <w:pPr>
        <w:spacing w:after="0" w:line="240" w:lineRule="auto"/>
      </w:pPr>
    </w:p>
    <w:p w14:paraId="7E2EE1C1" w14:textId="77777777" w:rsidR="00AF7C23" w:rsidRDefault="00AF7C23" w:rsidP="00AF7C23">
      <w:pPr>
        <w:spacing w:after="0" w:line="240" w:lineRule="auto"/>
      </w:pPr>
      <w:r>
        <w:t xml:space="preserve">While detained at the Hancock County Jail in Indiana, Nicholas </w:t>
      </w:r>
      <w:proofErr w:type="spellStart"/>
      <w:r>
        <w:t>Zemlick</w:t>
      </w:r>
      <w:proofErr w:type="spellEnd"/>
      <w:r>
        <w:t xml:space="preserve"> underwent an elective abdominal surgery. Following his return to the jail, he developed an abdominal infection, experiencing worsening symptoms over several days. Jail medical staff monitored and treated him, ultimately prescribing antibiotics and arranging for a hospital transport after a nurse expressed concern about his condition. </w:t>
      </w:r>
      <w:proofErr w:type="spellStart"/>
      <w:r>
        <w:t>Zemlick</w:t>
      </w:r>
      <w:proofErr w:type="spellEnd"/>
      <w:r>
        <w:t xml:space="preserve"> underwent emergency surgery, recovered, and returned to the jail, where his wound continued to heal without further complications.</w:t>
      </w:r>
    </w:p>
    <w:p w14:paraId="6797A8F0" w14:textId="77777777" w:rsidR="00AF7C23" w:rsidRDefault="00AF7C23" w:rsidP="00AF7C23">
      <w:pPr>
        <w:spacing w:after="0" w:line="240" w:lineRule="auto"/>
      </w:pPr>
    </w:p>
    <w:p w14:paraId="4038FAE5" w14:textId="77777777" w:rsidR="00AF7C23" w:rsidRDefault="00AF7C23" w:rsidP="00AF7C23">
      <w:pPr>
        <w:spacing w:after="0" w:line="240" w:lineRule="auto"/>
      </w:pPr>
      <w:proofErr w:type="spellStart"/>
      <w:r>
        <w:t>Zemlick</w:t>
      </w:r>
      <w:proofErr w:type="spellEnd"/>
      <w:r>
        <w:t xml:space="preserve"> filed suit in the United States District Court for the Southern District of Indiana against the Hancock County Sheriff and two jail officers, alleging violations of his Fourteenth Amendment rights under 42 U.S.C. § 1983 for deliberate indifference to his medical needs. He also brought a Monell claim, asserting that the Sheriff failed to ensure adequate medical resources and training at the jail. The district court granted summary judgment to all defendants on the federal claims, finding no genuine dispute of material fact and relinquished jurisdiction over state-law claims. </w:t>
      </w:r>
      <w:proofErr w:type="spellStart"/>
      <w:r>
        <w:t>Zemlick</w:t>
      </w:r>
      <w:proofErr w:type="spellEnd"/>
      <w:r>
        <w:t xml:space="preserve"> subsequently settled with the medical staff defendants, leaving only the claims against the Sheriff and two officers for appeal.</w:t>
      </w:r>
    </w:p>
    <w:p w14:paraId="64FDF8C2" w14:textId="77777777" w:rsidR="00AF7C23" w:rsidRDefault="00AF7C23" w:rsidP="00AF7C23">
      <w:pPr>
        <w:spacing w:after="0" w:line="240" w:lineRule="auto"/>
      </w:pPr>
    </w:p>
    <w:p w14:paraId="1D51BF8F" w14:textId="70DAFDB4" w:rsidR="001B4C2F" w:rsidRDefault="00E0681C" w:rsidP="00AF7C23">
      <w:pPr>
        <w:spacing w:after="0" w:line="240" w:lineRule="auto"/>
      </w:pPr>
      <w:r>
        <w:t>On appeal, t</w:t>
      </w:r>
      <w:r w:rsidR="00AF7C23">
        <w:t xml:space="preserve">he United States Court of Appeals for the Seventh Circuit held that the individual defendants did not violate </w:t>
      </w:r>
      <w:proofErr w:type="spellStart"/>
      <w:r w:rsidR="00AF7C23">
        <w:t>Zemlick’s</w:t>
      </w:r>
      <w:proofErr w:type="spellEnd"/>
      <w:r w:rsidR="00AF7C23">
        <w:t xml:space="preserve"> Fourteenth Amendment rights, either because the claims failed on the merits or because the officers were entitled to qualified immunity, as their conduct was not clearly established as unlawful. Regarding the Monell claim, the court found </w:t>
      </w:r>
      <w:proofErr w:type="spellStart"/>
      <w:r w:rsidR="00AF7C23">
        <w:t>Zemlick’s</w:t>
      </w:r>
      <w:proofErr w:type="spellEnd"/>
      <w:r w:rsidR="00AF7C23">
        <w:t xml:space="preserve"> theories were waived under district court procedures and unsupported by the record. Accordingly, the Seventh Circuit affirmed the district court’s judgment.</w:t>
      </w:r>
    </w:p>
    <w:p w14:paraId="13C43292" w14:textId="77777777" w:rsidR="00AF7C23" w:rsidRDefault="00AF7C23" w:rsidP="00AF7C23">
      <w:pPr>
        <w:spacing w:after="0" w:line="240" w:lineRule="auto"/>
      </w:pPr>
    </w:p>
    <w:p w14:paraId="44F3DBBF" w14:textId="170EBBEB" w:rsidR="00AF7C23" w:rsidRDefault="00000000" w:rsidP="00AF7C23">
      <w:pPr>
        <w:spacing w:after="0" w:line="240" w:lineRule="auto"/>
      </w:pPr>
      <w:hyperlink r:id="rId6" w:history="1">
        <w:r w:rsidR="00AF7C23" w:rsidRPr="00B20B69">
          <w:rPr>
            <w:rStyle w:val="Hyperlink"/>
          </w:rPr>
          <w:t>https://cases.justia.com/federal/appellate-courts/ca7/24-2799/24-2799-2026-01-22.pdf</w:t>
        </w:r>
      </w:hyperlink>
      <w:r w:rsidR="00AF7C23">
        <w:t xml:space="preserve"> </w:t>
      </w:r>
    </w:p>
    <w:p w14:paraId="18334888" w14:textId="77777777" w:rsidR="00AF7C23" w:rsidRDefault="00AF7C23" w:rsidP="00AF7C23">
      <w:pPr>
        <w:spacing w:after="0" w:line="240" w:lineRule="auto"/>
      </w:pPr>
    </w:p>
    <w:p w14:paraId="76903980" w14:textId="15FAD15A" w:rsidR="00AF7C23" w:rsidRDefault="00AF7C23">
      <w:r>
        <w:br w:type="page"/>
      </w:r>
    </w:p>
    <w:p w14:paraId="5FC5D502" w14:textId="77777777" w:rsidR="00AF7C23" w:rsidRPr="00AF7C23" w:rsidRDefault="00AF7C23" w:rsidP="00AF7C23">
      <w:pPr>
        <w:spacing w:after="0" w:line="240" w:lineRule="auto"/>
        <w:rPr>
          <w:b/>
          <w:bCs/>
        </w:rPr>
      </w:pPr>
      <w:proofErr w:type="spellStart"/>
      <w:r w:rsidRPr="00AF7C23">
        <w:rPr>
          <w:b/>
          <w:bCs/>
        </w:rPr>
        <w:lastRenderedPageBreak/>
        <w:t>Coones</w:t>
      </w:r>
      <w:proofErr w:type="spellEnd"/>
      <w:r w:rsidRPr="00AF7C23">
        <w:rPr>
          <w:b/>
          <w:bCs/>
        </w:rPr>
        <w:t xml:space="preserve"> v. Board of County Commissioners</w:t>
      </w:r>
    </w:p>
    <w:p w14:paraId="106A341A" w14:textId="5FC7BC95" w:rsidR="00AF7C23" w:rsidRDefault="00AF7C23" w:rsidP="00AF7C23">
      <w:pPr>
        <w:spacing w:after="0" w:line="240" w:lineRule="auto"/>
      </w:pPr>
      <w:r>
        <w:t>U.S. Court of Appeals for the Tenth Circuit</w:t>
      </w:r>
    </w:p>
    <w:p w14:paraId="7E3DBF06" w14:textId="63BC9181" w:rsidR="00AF7C23" w:rsidRDefault="00AF7C23" w:rsidP="00AF7C23">
      <w:pPr>
        <w:spacing w:after="0" w:line="240" w:lineRule="auto"/>
      </w:pPr>
      <w:r>
        <w:t>24-3147</w:t>
      </w:r>
    </w:p>
    <w:p w14:paraId="34C4469C" w14:textId="25270726" w:rsidR="00AF7C23" w:rsidRDefault="00AF7C23" w:rsidP="00AF7C23">
      <w:pPr>
        <w:spacing w:after="0" w:line="240" w:lineRule="auto"/>
      </w:pPr>
      <w:r>
        <w:t>January 21, 2026</w:t>
      </w:r>
    </w:p>
    <w:p w14:paraId="68D590E8" w14:textId="77777777" w:rsidR="00AF7C23" w:rsidRDefault="00AF7C23" w:rsidP="00AF7C23">
      <w:pPr>
        <w:spacing w:after="0" w:line="240" w:lineRule="auto"/>
      </w:pPr>
    </w:p>
    <w:p w14:paraId="47122E4A" w14:textId="3A700197" w:rsidR="00AF7C23" w:rsidRDefault="00AF7C23" w:rsidP="00AF7C23">
      <w:pPr>
        <w:spacing w:after="0" w:line="240" w:lineRule="auto"/>
      </w:pPr>
      <w:r>
        <w:t xml:space="preserve">Summary: </w:t>
      </w:r>
    </w:p>
    <w:p w14:paraId="1F86957E" w14:textId="77777777" w:rsidR="00AF7C23" w:rsidRDefault="00AF7C23" w:rsidP="00AF7C23">
      <w:pPr>
        <w:spacing w:after="0" w:line="240" w:lineRule="auto"/>
      </w:pPr>
    </w:p>
    <w:p w14:paraId="0921B6A1" w14:textId="77777777" w:rsidR="00AF7C23" w:rsidRDefault="00AF7C23" w:rsidP="00AF7C23">
      <w:pPr>
        <w:spacing w:after="0" w:line="240" w:lineRule="auto"/>
      </w:pPr>
      <w:r>
        <w:t>A Kansas man was convicted in 2009 for the murder of a woman, Kathleen, but was acquitted of killing her husband, Carl. After spending twelve years in prison, he was exonerated when evidence emerged showing Kathleen had killed both herself and her husband, framing him for the crime. The exonerated man died shortly after his release. His widow, as executor of his estate, filed a federal civil rights suit under 42 U.S.C. § 1983, alleging constitutional violations by the police during the investigation that led to his conviction. Specifically, the claims against the two lead detectives included fabrication and suppression of evidence (Count I) and malicious prosecution (Count II).</w:t>
      </w:r>
    </w:p>
    <w:p w14:paraId="6D67E646" w14:textId="77777777" w:rsidR="00AF7C23" w:rsidRDefault="00AF7C23" w:rsidP="00AF7C23">
      <w:pPr>
        <w:spacing w:after="0" w:line="240" w:lineRule="auto"/>
      </w:pPr>
    </w:p>
    <w:p w14:paraId="45F9F694" w14:textId="77777777" w:rsidR="00AF7C23" w:rsidRDefault="00AF7C23" w:rsidP="00AF7C23">
      <w:pPr>
        <w:spacing w:after="0" w:line="240" w:lineRule="auto"/>
      </w:pPr>
      <w:r>
        <w:t>The United States District Court for the District of Kansas denied the detectives’ motion for summary judgment on both counts, rejecting their assertion of qualified immunity. The district court found that a jury could conclude the detectives withheld material exculpatory evidence, failed to preserve potentially exculpatory evidence, and fabricated inculpatory evidence. The court also found that a reasonable jury could determine the detectives acted at least recklessly, and that clear legal precedent established the officers’ obligations. The district court further denied summary judgment to the Unified Government (the detectives’ employer) on municipal liability claims, because those claims depended on the detectives’ alleged constitutional violations.</w:t>
      </w:r>
    </w:p>
    <w:p w14:paraId="21755C04" w14:textId="77777777" w:rsidR="00AF7C23" w:rsidRDefault="00AF7C23" w:rsidP="00AF7C23">
      <w:pPr>
        <w:spacing w:after="0" w:line="240" w:lineRule="auto"/>
      </w:pPr>
    </w:p>
    <w:p w14:paraId="523E18D3" w14:textId="1C43CE11" w:rsidR="00AF7C23" w:rsidRDefault="00AF7C23" w:rsidP="00AF7C23">
      <w:pPr>
        <w:spacing w:after="0" w:line="240" w:lineRule="auto"/>
      </w:pPr>
      <w:r>
        <w:t>On appeal, the United States Court of Appeals for the Tenth Circuit affirmed the district court’s denial of qualified immunity on both counts, concluding the estate’s claims were supported by controlling law and sufficient factual allegations. The Tenth Circuit dismissed the Unified Government’s appeal for lack of pendent appellate jurisdiction, since it did not independently resolve the underlying constitutional claims.</w:t>
      </w:r>
    </w:p>
    <w:p w14:paraId="0B1FACFF" w14:textId="77777777" w:rsidR="00AF7C23" w:rsidRDefault="00AF7C23" w:rsidP="00AF7C23">
      <w:pPr>
        <w:spacing w:after="0" w:line="240" w:lineRule="auto"/>
      </w:pPr>
    </w:p>
    <w:p w14:paraId="7EFDA2FE" w14:textId="309FBC08" w:rsidR="00AF7C23" w:rsidRDefault="00000000" w:rsidP="00AF7C23">
      <w:pPr>
        <w:spacing w:after="0" w:line="240" w:lineRule="auto"/>
      </w:pPr>
      <w:hyperlink r:id="rId7" w:history="1">
        <w:r w:rsidR="00AF7C23" w:rsidRPr="00B20B69">
          <w:rPr>
            <w:rStyle w:val="Hyperlink"/>
          </w:rPr>
          <w:t>https://cases.justia.com/federal/appellate-courts/ca10/24-3147/24-3147-2026-01-21.pdf</w:t>
        </w:r>
      </w:hyperlink>
    </w:p>
    <w:p w14:paraId="6ADCDCD7" w14:textId="77777777" w:rsidR="00AF7C23" w:rsidRDefault="00AF7C23" w:rsidP="00AF7C23">
      <w:pPr>
        <w:spacing w:after="0" w:line="240" w:lineRule="auto"/>
      </w:pPr>
    </w:p>
    <w:p w14:paraId="64032BE7" w14:textId="68B8243E" w:rsidR="00AF7C23" w:rsidRDefault="00AF7C23">
      <w:r>
        <w:br w:type="page"/>
      </w:r>
    </w:p>
    <w:p w14:paraId="00128284" w14:textId="77777777" w:rsidR="00AF7C23" w:rsidRPr="00AF7C23" w:rsidRDefault="00AF7C23" w:rsidP="00AF7C23">
      <w:pPr>
        <w:spacing w:after="0" w:line="240" w:lineRule="auto"/>
        <w:rPr>
          <w:b/>
          <w:bCs/>
        </w:rPr>
      </w:pPr>
      <w:r w:rsidRPr="00AF7C23">
        <w:rPr>
          <w:b/>
          <w:bCs/>
        </w:rPr>
        <w:lastRenderedPageBreak/>
        <w:t>L.A. Police Protective League v. City of L.A.</w:t>
      </w:r>
    </w:p>
    <w:p w14:paraId="7FE1A0CB" w14:textId="3296DC1D" w:rsidR="00AF7C23" w:rsidRDefault="00AF7C23" w:rsidP="00AF7C23">
      <w:pPr>
        <w:spacing w:after="0" w:line="240" w:lineRule="auto"/>
      </w:pPr>
      <w:r>
        <w:t>Supreme Court of California</w:t>
      </w:r>
    </w:p>
    <w:p w14:paraId="4642650F" w14:textId="77777777" w:rsidR="00AF7C23" w:rsidRDefault="00AF7C23" w:rsidP="00AF7C23">
      <w:pPr>
        <w:spacing w:after="0" w:line="240" w:lineRule="auto"/>
      </w:pPr>
      <w:r>
        <w:t>Docket: S275272M</w:t>
      </w:r>
    </w:p>
    <w:p w14:paraId="34D18384" w14:textId="3EC064D1" w:rsidR="00AF7C23" w:rsidRDefault="00AF7C23" w:rsidP="00AF7C23">
      <w:pPr>
        <w:spacing w:after="0" w:line="240" w:lineRule="auto"/>
      </w:pPr>
      <w:r>
        <w:t>January 22, 2026</w:t>
      </w:r>
    </w:p>
    <w:p w14:paraId="64AF2E27" w14:textId="77777777" w:rsidR="00AF7C23" w:rsidRDefault="00AF7C23" w:rsidP="00AF7C23">
      <w:pPr>
        <w:spacing w:after="0" w:line="240" w:lineRule="auto"/>
      </w:pPr>
    </w:p>
    <w:p w14:paraId="30F472C6" w14:textId="53FD1112" w:rsidR="00AF7C23" w:rsidRDefault="00AF7C23" w:rsidP="00AF7C23">
      <w:pPr>
        <w:spacing w:after="0" w:line="240" w:lineRule="auto"/>
      </w:pPr>
      <w:r>
        <w:t xml:space="preserve">Summary: </w:t>
      </w:r>
    </w:p>
    <w:p w14:paraId="2CE3E32F" w14:textId="77777777" w:rsidR="00AF7C23" w:rsidRDefault="00AF7C23" w:rsidP="00AF7C23">
      <w:pPr>
        <w:spacing w:after="0" w:line="240" w:lineRule="auto"/>
      </w:pPr>
    </w:p>
    <w:p w14:paraId="3D8F3FF7" w14:textId="77777777" w:rsidR="00AF7C23" w:rsidRDefault="00AF7C23" w:rsidP="00AF7C23">
      <w:pPr>
        <w:spacing w:after="0" w:line="240" w:lineRule="auto"/>
      </w:pPr>
      <w:r>
        <w:t>The case concerns a California statute that makes it a crime to knowingly file a false allegation of police misconduct and requires complainants to sign an advisory warning of potential criminal liability before their complaint is accepted. The Los Angeles Police Protective League sought an injunction compelling the City of Los Angeles to enforce this advisory requirement. The City had previously entered into a consent decree with the federal government prohibiting enforcement of the advisory, and even after the consent decree expired, continued not to require the advisory due to concerns about the statute’s constitutionality.</w:t>
      </w:r>
    </w:p>
    <w:p w14:paraId="3B95C1EB" w14:textId="77777777" w:rsidR="00AF7C23" w:rsidRDefault="00AF7C23" w:rsidP="00AF7C23">
      <w:pPr>
        <w:spacing w:after="0" w:line="240" w:lineRule="auto"/>
      </w:pPr>
    </w:p>
    <w:p w14:paraId="7B3D3061" w14:textId="77777777" w:rsidR="00AF7C23" w:rsidRDefault="00AF7C23" w:rsidP="00AF7C23">
      <w:pPr>
        <w:spacing w:after="0" w:line="240" w:lineRule="auto"/>
      </w:pPr>
      <w:r>
        <w:t xml:space="preserve">The Superior Court of Los Angeles County, relying on the California Supreme Court’s earlier decision in People v. Stanistreet, granted the injunction and ordered the City to require the statutory advisory. The California Court of Appeal affirmed, adhering to Stanistreet’s reasoning that had upheld the statute’s constitutionality. The City then petitioned to the Supreme Court of California, arguing that subsequent federal decisions—especially Chaker v. </w:t>
      </w:r>
      <w:proofErr w:type="spellStart"/>
      <w:r>
        <w:t>Crogan</w:t>
      </w:r>
      <w:proofErr w:type="spellEnd"/>
      <w:r>
        <w:t xml:space="preserve"> by the Ninth Circuit—cast serious doubt on the continuing validity of Stanistreet and the constitutionality of the statute.</w:t>
      </w:r>
    </w:p>
    <w:p w14:paraId="7575FB89" w14:textId="77777777" w:rsidR="00AF7C23" w:rsidRDefault="00AF7C23" w:rsidP="00AF7C23">
      <w:pPr>
        <w:spacing w:after="0" w:line="240" w:lineRule="auto"/>
      </w:pPr>
    </w:p>
    <w:p w14:paraId="7B534ADE" w14:textId="33FE75DD" w:rsidR="00AF7C23" w:rsidRDefault="00E0681C" w:rsidP="00AF7C23">
      <w:pPr>
        <w:spacing w:after="0" w:line="240" w:lineRule="auto"/>
      </w:pPr>
      <w:r>
        <w:t>On appeal</w:t>
      </w:r>
      <w:r w:rsidR="00AF7C23">
        <w:t>, the Supreme Court of California reconsidered its prior Stanistreet decision in light of more recent U.S. Supreme Court rulings, including United States v. Alvarez and Free Speech Coalition, Inc. v. Paxton. The court held that the statutory scheme—combining criminal penalties with a mandatory and prominently worded advisory—created a consequential risk of chilling truthful or well-intentioned complaints of police misconduct. The court concluded that this risk triggered heightened constitutional scrutiny under the First Amendment. The statute failed intermediate scrutiny because it was not narrowly tailored and burdened substantially more speech than necessary to serve the state’s legitimate interests. The court therefore reversed the judgment of the Court of Appeal.</w:t>
      </w:r>
    </w:p>
    <w:p w14:paraId="350AACF0" w14:textId="77777777" w:rsidR="00AF7C23" w:rsidRDefault="00AF7C23" w:rsidP="00AF7C23">
      <w:pPr>
        <w:spacing w:after="0" w:line="240" w:lineRule="auto"/>
      </w:pPr>
    </w:p>
    <w:p w14:paraId="1266D729" w14:textId="07EBDB29" w:rsidR="00AF7C23" w:rsidRDefault="00000000" w:rsidP="00AF7C23">
      <w:pPr>
        <w:spacing w:after="0" w:line="240" w:lineRule="auto"/>
      </w:pPr>
      <w:hyperlink r:id="rId8" w:history="1">
        <w:r w:rsidR="00AF7C23" w:rsidRPr="00B20B69">
          <w:rPr>
            <w:rStyle w:val="Hyperlink"/>
          </w:rPr>
          <w:t>https://cases.justia.com/california/supreme-court/2026-s275272m.pdf</w:t>
        </w:r>
      </w:hyperlink>
      <w:r w:rsidR="00AF7C23">
        <w:t xml:space="preserve"> </w:t>
      </w:r>
    </w:p>
    <w:p w14:paraId="7A15625D" w14:textId="77777777" w:rsidR="00AF7C23" w:rsidRDefault="00AF7C23" w:rsidP="00AF7C23">
      <w:pPr>
        <w:spacing w:after="0" w:line="240" w:lineRule="auto"/>
      </w:pPr>
    </w:p>
    <w:p w14:paraId="33661A02" w14:textId="6F007AD1" w:rsidR="00AF7C23" w:rsidRDefault="00AF7C23">
      <w:r>
        <w:br w:type="page"/>
      </w:r>
    </w:p>
    <w:p w14:paraId="220EA138" w14:textId="7A3A8005" w:rsidR="00AF7C23" w:rsidRPr="008E4991" w:rsidRDefault="00AF7C23" w:rsidP="00AF7C23">
      <w:pPr>
        <w:spacing w:after="0" w:line="240" w:lineRule="auto"/>
        <w:rPr>
          <w:b/>
          <w:bCs/>
        </w:rPr>
      </w:pPr>
      <w:r w:rsidRPr="008E4991">
        <w:rPr>
          <w:b/>
          <w:bCs/>
        </w:rPr>
        <w:lastRenderedPageBreak/>
        <w:t>United States v. Douglas</w:t>
      </w:r>
    </w:p>
    <w:p w14:paraId="3F64CDC2" w14:textId="382CFF1A" w:rsidR="00AF7C23" w:rsidRDefault="00AF7C23" w:rsidP="00AF7C23">
      <w:pPr>
        <w:spacing w:after="0" w:line="240" w:lineRule="auto"/>
      </w:pPr>
      <w:r>
        <w:t>U.S. Court of Appeals for the Seventh Circuit</w:t>
      </w:r>
    </w:p>
    <w:p w14:paraId="583B3630" w14:textId="01C2EFD7" w:rsidR="00AF7C23" w:rsidRDefault="00AF7C23" w:rsidP="00AF7C23">
      <w:pPr>
        <w:spacing w:after="0" w:line="240" w:lineRule="auto"/>
      </w:pPr>
      <w:r>
        <w:t>23-3399</w:t>
      </w:r>
    </w:p>
    <w:p w14:paraId="36D20720" w14:textId="3F1A20B1" w:rsidR="00AF7C23" w:rsidRDefault="00AF7C23" w:rsidP="00AF7C23">
      <w:pPr>
        <w:spacing w:after="0" w:line="240" w:lineRule="auto"/>
      </w:pPr>
      <w:r>
        <w:t>January 22, 2026</w:t>
      </w:r>
    </w:p>
    <w:p w14:paraId="3268174A" w14:textId="77777777" w:rsidR="00AF7C23" w:rsidRDefault="00AF7C23" w:rsidP="00AF7C23">
      <w:pPr>
        <w:spacing w:after="0" w:line="240" w:lineRule="auto"/>
      </w:pPr>
    </w:p>
    <w:p w14:paraId="770BEFF7" w14:textId="4C732A14" w:rsidR="008E4991" w:rsidRDefault="008E4991" w:rsidP="00AF7C23">
      <w:pPr>
        <w:spacing w:after="0" w:line="240" w:lineRule="auto"/>
      </w:pPr>
      <w:r>
        <w:t>Summary:</w:t>
      </w:r>
    </w:p>
    <w:p w14:paraId="722914DD" w14:textId="77777777" w:rsidR="00AF7C23" w:rsidRDefault="00AF7C23" w:rsidP="00AF7C23">
      <w:pPr>
        <w:spacing w:after="0" w:line="240" w:lineRule="auto"/>
      </w:pPr>
    </w:p>
    <w:p w14:paraId="2D12669C" w14:textId="77777777" w:rsidR="00AF7C23" w:rsidRDefault="00AF7C23" w:rsidP="00AF7C23">
      <w:pPr>
        <w:spacing w:after="0" w:line="240" w:lineRule="auto"/>
      </w:pPr>
      <w:r>
        <w:t>In early 2018, law enforcement in Quincy, Illinois, investigated reports from multiple confidential sources that Ryan Douglas was selling methamphetamine and cocaine. Police conducted several controlled buys, including one in April 2018 where Douglas, driving a black BMW, sold methamphetamine to a confidential source after visiting a residence at 1726 N. 16th Street. Based on these events, police obtained a warrant to search the house, where they found cash (including buy money), drug paraphernalia, and other items. Douglas was arrested after a traffic stop, and police later obtained a second warrant to search his iPhone, which revealed incriminating text messages.</w:t>
      </w:r>
    </w:p>
    <w:p w14:paraId="35F7401F" w14:textId="77777777" w:rsidR="00AF7C23" w:rsidRDefault="00AF7C23" w:rsidP="00AF7C23">
      <w:pPr>
        <w:spacing w:after="0" w:line="240" w:lineRule="auto"/>
      </w:pPr>
    </w:p>
    <w:p w14:paraId="6963A9BE" w14:textId="77777777" w:rsidR="00AF7C23" w:rsidRDefault="00AF7C23" w:rsidP="00AF7C23">
      <w:pPr>
        <w:spacing w:after="0" w:line="240" w:lineRule="auto"/>
      </w:pPr>
      <w:r>
        <w:t>A federal grand jury indicted Douglas for distribution of methamphetamine. He moved to suppress evidence from both the house and phone searches, arguing that the warrants lacked probable cause—specifically, that there was insufficient connection between the house and his alleged drug activity, and that no fair probability was shown that evidence would be found on his phone. A magistrate judge recommended denying the motion, finding probable cause, and, alternatively, that the officers had acted in good faith. The United States District Court for the Central District of Illinois adopted this recommendation and denied the motion. Douglas entered a conditional guilty plea, preserving his right to appeal the suppression ruling, and was sentenced to 84 months.</w:t>
      </w:r>
    </w:p>
    <w:p w14:paraId="2F73DEFA" w14:textId="77777777" w:rsidR="00AF7C23" w:rsidRDefault="00AF7C23" w:rsidP="00AF7C23">
      <w:pPr>
        <w:spacing w:after="0" w:line="240" w:lineRule="auto"/>
      </w:pPr>
    </w:p>
    <w:p w14:paraId="007497B2" w14:textId="43FC7B99" w:rsidR="00AF7C23" w:rsidRDefault="00AF7C23" w:rsidP="00AF7C23">
      <w:pPr>
        <w:spacing w:after="0" w:line="240" w:lineRule="auto"/>
      </w:pPr>
      <w:r>
        <w:t>On appeal, the United States Court of Appeals for the Seventh Circuit declined to decide whether the warrants were supported by probable cause, holding instead that the good-faith exception to the exclusionary rule applied. The court concluded that the officers reasonably relied on the warrants issued by neutral judges, and Douglas failed to show that reliance was unreasonable. Accordingly, the court affirmed the district court’s denial of the motion to suppress.</w:t>
      </w:r>
    </w:p>
    <w:p w14:paraId="2ABC0066" w14:textId="77777777" w:rsidR="008E4991" w:rsidRDefault="008E4991" w:rsidP="00AF7C23">
      <w:pPr>
        <w:spacing w:after="0" w:line="240" w:lineRule="auto"/>
      </w:pPr>
    </w:p>
    <w:p w14:paraId="785D9BE6" w14:textId="32EC42AB" w:rsidR="008E4991" w:rsidRDefault="00000000" w:rsidP="00AF7C23">
      <w:pPr>
        <w:spacing w:after="0" w:line="240" w:lineRule="auto"/>
      </w:pPr>
      <w:hyperlink r:id="rId9" w:history="1">
        <w:r w:rsidR="008E4991" w:rsidRPr="00B20B69">
          <w:rPr>
            <w:rStyle w:val="Hyperlink"/>
          </w:rPr>
          <w:t>https://cases.justia.com/federal/appellate-courts/ca7/23-3399/23-3399-2026-01-22.pdf</w:t>
        </w:r>
      </w:hyperlink>
      <w:r w:rsidR="008E4991">
        <w:t xml:space="preserve"> </w:t>
      </w:r>
    </w:p>
    <w:p w14:paraId="607F702D" w14:textId="481E6E07" w:rsidR="008E4991" w:rsidRDefault="008E4991"/>
    <w:p w14:paraId="47F377E5" w14:textId="77777777" w:rsidR="008E4991" w:rsidRDefault="008E4991" w:rsidP="00AF7C23">
      <w:pPr>
        <w:spacing w:after="0" w:line="240" w:lineRule="auto"/>
      </w:pPr>
    </w:p>
    <w:sectPr w:rsidR="008E4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4F"/>
    <w:rsid w:val="00000ED8"/>
    <w:rsid w:val="001B4C2F"/>
    <w:rsid w:val="004709CA"/>
    <w:rsid w:val="004E3816"/>
    <w:rsid w:val="00570746"/>
    <w:rsid w:val="008E4991"/>
    <w:rsid w:val="00AF7C23"/>
    <w:rsid w:val="00B04CD7"/>
    <w:rsid w:val="00C6654F"/>
    <w:rsid w:val="00D41EC4"/>
    <w:rsid w:val="00E06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E2C9"/>
  <w15:chartTrackingRefBased/>
  <w15:docId w15:val="{4C74B119-EFFB-45A6-80B3-39591F8F4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54F"/>
    <w:rPr>
      <w:rFonts w:eastAsiaTheme="majorEastAsia" w:cstheme="majorBidi"/>
      <w:color w:val="272727" w:themeColor="text1" w:themeTint="D8"/>
    </w:rPr>
  </w:style>
  <w:style w:type="paragraph" w:styleId="Title">
    <w:name w:val="Title"/>
    <w:basedOn w:val="Normal"/>
    <w:next w:val="Normal"/>
    <w:link w:val="TitleChar"/>
    <w:uiPriority w:val="10"/>
    <w:qFormat/>
    <w:rsid w:val="00C66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54F"/>
    <w:pPr>
      <w:spacing w:before="160"/>
      <w:jc w:val="center"/>
    </w:pPr>
    <w:rPr>
      <w:i/>
      <w:iCs/>
      <w:color w:val="404040" w:themeColor="text1" w:themeTint="BF"/>
    </w:rPr>
  </w:style>
  <w:style w:type="character" w:customStyle="1" w:styleId="QuoteChar">
    <w:name w:val="Quote Char"/>
    <w:basedOn w:val="DefaultParagraphFont"/>
    <w:link w:val="Quote"/>
    <w:uiPriority w:val="29"/>
    <w:rsid w:val="00C6654F"/>
    <w:rPr>
      <w:i/>
      <w:iCs/>
      <w:color w:val="404040" w:themeColor="text1" w:themeTint="BF"/>
    </w:rPr>
  </w:style>
  <w:style w:type="paragraph" w:styleId="ListParagraph">
    <w:name w:val="List Paragraph"/>
    <w:basedOn w:val="Normal"/>
    <w:uiPriority w:val="34"/>
    <w:qFormat/>
    <w:rsid w:val="00C6654F"/>
    <w:pPr>
      <w:ind w:left="720"/>
      <w:contextualSpacing/>
    </w:pPr>
  </w:style>
  <w:style w:type="character" w:styleId="IntenseEmphasis">
    <w:name w:val="Intense Emphasis"/>
    <w:basedOn w:val="DefaultParagraphFont"/>
    <w:uiPriority w:val="21"/>
    <w:qFormat/>
    <w:rsid w:val="00C6654F"/>
    <w:rPr>
      <w:i/>
      <w:iCs/>
      <w:color w:val="0F4761" w:themeColor="accent1" w:themeShade="BF"/>
    </w:rPr>
  </w:style>
  <w:style w:type="paragraph" w:styleId="IntenseQuote">
    <w:name w:val="Intense Quote"/>
    <w:basedOn w:val="Normal"/>
    <w:next w:val="Normal"/>
    <w:link w:val="IntenseQuoteChar"/>
    <w:uiPriority w:val="30"/>
    <w:qFormat/>
    <w:rsid w:val="00C66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54F"/>
    <w:rPr>
      <w:i/>
      <w:iCs/>
      <w:color w:val="0F4761" w:themeColor="accent1" w:themeShade="BF"/>
    </w:rPr>
  </w:style>
  <w:style w:type="character" w:styleId="IntenseReference">
    <w:name w:val="Intense Reference"/>
    <w:basedOn w:val="DefaultParagraphFont"/>
    <w:uiPriority w:val="32"/>
    <w:qFormat/>
    <w:rsid w:val="00C6654F"/>
    <w:rPr>
      <w:b/>
      <w:bCs/>
      <w:smallCaps/>
      <w:color w:val="0F4761" w:themeColor="accent1" w:themeShade="BF"/>
      <w:spacing w:val="5"/>
    </w:rPr>
  </w:style>
  <w:style w:type="character" w:styleId="Hyperlink">
    <w:name w:val="Hyperlink"/>
    <w:basedOn w:val="DefaultParagraphFont"/>
    <w:uiPriority w:val="99"/>
    <w:unhideWhenUsed/>
    <w:rsid w:val="001B4C2F"/>
    <w:rPr>
      <w:color w:val="467886" w:themeColor="hyperlink"/>
      <w:u w:val="single"/>
    </w:rPr>
  </w:style>
  <w:style w:type="character" w:styleId="UnresolvedMention">
    <w:name w:val="Unresolved Mention"/>
    <w:basedOn w:val="DefaultParagraphFont"/>
    <w:uiPriority w:val="99"/>
    <w:semiHidden/>
    <w:unhideWhenUsed/>
    <w:rsid w:val="001B4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california/supreme-court/2026-s275272m.pdf" TargetMode="External"/><Relationship Id="rId3" Type="http://schemas.openxmlformats.org/officeDocument/2006/relationships/webSettings" Target="webSettings.xml"/><Relationship Id="rId7" Type="http://schemas.openxmlformats.org/officeDocument/2006/relationships/hyperlink" Target="https://cases.justia.com/federal/appellate-courts/ca10/24-3147/24-3147-2026-01-21.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7/24-2799/24-2799-2026-01-22.pdf" TargetMode="External"/><Relationship Id="rId11" Type="http://schemas.openxmlformats.org/officeDocument/2006/relationships/theme" Target="theme/theme1.xml"/><Relationship Id="rId5" Type="http://schemas.openxmlformats.org/officeDocument/2006/relationships/hyperlink" Target="https://cases.justia.com/district-of-columbia/court-of-appeals/2026-24-cf-0803.pdf" TargetMode="External"/><Relationship Id="rId10" Type="http://schemas.openxmlformats.org/officeDocument/2006/relationships/fontTable" Target="fontTable.xml"/><Relationship Id="rId4" Type="http://schemas.openxmlformats.org/officeDocument/2006/relationships/hyperlink" Target="https://cases.justia.com/federal/appellate-courts/ca7/23-2828/23-2828-2026-01-20.pdf" TargetMode="External"/><Relationship Id="rId9" Type="http://schemas.openxmlformats.org/officeDocument/2006/relationships/hyperlink" Target="https://cases.justia.com/federal/appellate-courts/ca7/23-3399/23-3399-2026-01-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1897</Words>
  <Characters>10817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3</cp:revision>
  <dcterms:created xsi:type="dcterms:W3CDTF">2026-01-26T18:22:00Z</dcterms:created>
  <dcterms:modified xsi:type="dcterms:W3CDTF">2026-01-26T19:01:00Z</dcterms:modified>
</cp:coreProperties>
</file>