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48172">
      <w:pPr>
        <w:jc w:val="center"/>
        <w:rPr>
          <w:rFonts w:eastAsia="黑体" w:cs="Times New Roman"/>
          <w:b/>
          <w:sz w:val="36"/>
          <w:szCs w:val="36"/>
          <w14:ligatures w14:val="none"/>
        </w:rPr>
      </w:pPr>
    </w:p>
    <w:p w14:paraId="70C6EA85">
      <w:pPr>
        <w:jc w:val="center"/>
        <w:rPr>
          <w:rFonts w:eastAsia="黑体" w:cs="Times New Roman"/>
          <w:b/>
          <w:sz w:val="36"/>
          <w:szCs w:val="36"/>
          <w14:ligatures w14:val="none"/>
        </w:rPr>
      </w:pPr>
    </w:p>
    <w:p w14:paraId="1A1FF71D">
      <w:pPr>
        <w:jc w:val="center"/>
        <w:rPr>
          <w:rFonts w:eastAsia="黑体" w:cs="Times New Roman"/>
          <w:b/>
          <w:sz w:val="36"/>
          <w:szCs w:val="36"/>
          <w14:ligatures w14:val="none"/>
        </w:rPr>
      </w:pPr>
    </w:p>
    <w:p w14:paraId="5757E4AE">
      <w:pPr>
        <w:jc w:val="center"/>
        <w:rPr>
          <w:rFonts w:eastAsia="黑体" w:cs="Times New Roman"/>
          <w:b/>
          <w:sz w:val="36"/>
          <w:szCs w:val="36"/>
          <w14:ligatures w14:val="none"/>
        </w:rPr>
      </w:pPr>
    </w:p>
    <w:p w14:paraId="61ECDC8C">
      <w:pPr>
        <w:jc w:val="center"/>
        <w:rPr>
          <w:rFonts w:eastAsia="黑体" w:cs="Times New Roman"/>
          <w:b/>
          <w:sz w:val="36"/>
          <w:szCs w:val="36"/>
          <w14:ligatures w14:val="none"/>
        </w:rPr>
      </w:pPr>
    </w:p>
    <w:p w14:paraId="56D5D1EE">
      <w:pPr>
        <w:spacing w:line="240" w:lineRule="auto"/>
        <w:jc w:val="center"/>
        <w:rPr>
          <w:rFonts w:hint="eastAsia" w:eastAsia="浠垮畫" w:cs="Times New Roman"/>
          <w:kern w:val="0"/>
          <w:sz w:val="52"/>
          <w:szCs w:val="52"/>
          <w14:ligatures w14:val="none"/>
        </w:rPr>
      </w:pPr>
      <w:r>
        <w:rPr>
          <w:rFonts w:hint="eastAsia" w:eastAsia="黑体" w:cs="Times New Roman"/>
          <w:kern w:val="0"/>
          <w:sz w:val="52"/>
          <w:szCs w:val="52"/>
          <w14:ligatures w14:val="none"/>
        </w:rPr>
        <w:t>GranuSci：面向规律自动发现的闭环自主科研智能体</w:t>
      </w:r>
    </w:p>
    <w:p w14:paraId="63E386F4">
      <w:pPr>
        <w:spacing w:line="240" w:lineRule="auto"/>
        <w:jc w:val="center"/>
        <w:rPr>
          <w:rFonts w:eastAsia="浠垮畫" w:cs="Times New Roman"/>
          <w:kern w:val="0"/>
          <w:sz w:val="32"/>
          <w:szCs w:val="32"/>
          <w14:ligatures w14:val="none"/>
        </w:rPr>
      </w:pPr>
    </w:p>
    <w:p w14:paraId="2ABD2345">
      <w:pPr>
        <w:jc w:val="center"/>
        <w:rPr>
          <w:rFonts w:eastAsia="浠垮畫" w:cs="Times New Roman"/>
          <w:kern w:val="0"/>
          <w:sz w:val="32"/>
          <w:szCs w:val="32"/>
          <w14:ligatures w14:val="none"/>
        </w:rPr>
      </w:pPr>
    </w:p>
    <w:p w14:paraId="34FEE5BC">
      <w:pPr>
        <w:jc w:val="center"/>
        <w:rPr>
          <w:rFonts w:eastAsia="浠垮畫" w:cs="Times New Roman"/>
          <w:kern w:val="0"/>
          <w:sz w:val="32"/>
          <w:szCs w:val="32"/>
          <w14:ligatures w14:val="none"/>
        </w:rPr>
      </w:pPr>
    </w:p>
    <w:p w14:paraId="31C024B4">
      <w:pPr>
        <w:jc w:val="center"/>
        <w:rPr>
          <w:rFonts w:eastAsia="浠垮畫" w:cs="Times New Roman"/>
          <w:kern w:val="0"/>
          <w:sz w:val="32"/>
          <w:szCs w:val="32"/>
          <w14:ligatures w14:val="none"/>
        </w:rPr>
      </w:pPr>
    </w:p>
    <w:p w14:paraId="334CEB34">
      <w:pPr>
        <w:jc w:val="center"/>
        <w:rPr>
          <w:rFonts w:eastAsia="浠垮畫" w:cs="Times New Roman"/>
          <w:kern w:val="0"/>
          <w:sz w:val="32"/>
          <w:szCs w:val="32"/>
          <w14:ligatures w14:val="none"/>
        </w:rPr>
      </w:pPr>
    </w:p>
    <w:p w14:paraId="28E7ED41">
      <w:pPr>
        <w:jc w:val="center"/>
        <w:rPr>
          <w:rFonts w:eastAsia="浠垮畫" w:cs="Times New Roman"/>
          <w:kern w:val="0"/>
          <w:sz w:val="32"/>
          <w:szCs w:val="32"/>
          <w14:ligatures w14:val="none"/>
        </w:rPr>
      </w:pPr>
    </w:p>
    <w:p w14:paraId="64859567">
      <w:pPr>
        <w:jc w:val="center"/>
        <w:rPr>
          <w:rFonts w:hint="eastAsia" w:ascii="楷体" w:hAnsi="楷体" w:eastAsia="楷体" w:cs="Times New Roman"/>
          <w:sz w:val="32"/>
          <w:szCs w:val="32"/>
          <w14:ligatures w14:val="none"/>
        </w:rPr>
      </w:pPr>
      <w:r>
        <w:rPr>
          <w:rFonts w:ascii="楷体" w:hAnsi="楷体" w:eastAsia="楷体" w:cs="微软雅黑"/>
          <w:sz w:val="32"/>
          <w:szCs w:val="32"/>
          <w14:ligatures w14:val="none"/>
        </w:rPr>
        <w:t>团队</w:t>
      </w:r>
      <w:r>
        <w:rPr>
          <w:rFonts w:ascii="楷体" w:hAnsi="楷体" w:eastAsia="楷体" w:cs="MS Mincho"/>
          <w:sz w:val="32"/>
          <w:szCs w:val="32"/>
          <w14:ligatures w14:val="none"/>
        </w:rPr>
        <w:t>名称：</w:t>
      </w:r>
      <w:r>
        <w:rPr>
          <w:rFonts w:ascii="楷体" w:hAnsi="楷体" w:eastAsia="楷体" w:cs="Times New Roman"/>
          <w:sz w:val="32"/>
          <w:szCs w:val="32"/>
          <w:u w:val="single"/>
          <w14:ligatures w14:val="none"/>
        </w:rPr>
        <w:t xml:space="preserve">   KeLiAI团队   </w:t>
      </w:r>
    </w:p>
    <w:p w14:paraId="73C1727F">
      <w:pPr>
        <w:jc w:val="center"/>
        <w:rPr>
          <w:rFonts w:hint="eastAsia" w:ascii="楷体" w:hAnsi="楷体" w:eastAsia="楷体" w:cs="Times New Roman"/>
          <w:sz w:val="32"/>
          <w:szCs w:val="32"/>
          <w14:ligatures w14:val="none"/>
        </w:rPr>
      </w:pPr>
      <w:r>
        <w:rPr>
          <w:rFonts w:ascii="楷体" w:hAnsi="楷体" w:eastAsia="楷体" w:cs="Times New Roman"/>
          <w:sz w:val="32"/>
          <w:szCs w:val="32"/>
          <w14:ligatures w14:val="none"/>
        </w:rPr>
        <w:t>所属</w:t>
      </w:r>
      <w:r>
        <w:rPr>
          <w:rFonts w:ascii="楷体" w:hAnsi="楷体" w:eastAsia="楷体" w:cs="微软雅黑"/>
          <w:sz w:val="32"/>
          <w:szCs w:val="32"/>
          <w14:ligatures w14:val="none"/>
        </w:rPr>
        <w:t>单</w:t>
      </w:r>
      <w:r>
        <w:rPr>
          <w:rFonts w:ascii="楷体" w:hAnsi="楷体" w:eastAsia="楷体" w:cs="MS Mincho"/>
          <w:sz w:val="32"/>
          <w:szCs w:val="32"/>
          <w14:ligatures w14:val="none"/>
        </w:rPr>
        <w:t>位：</w:t>
      </w:r>
      <w:r>
        <w:rPr>
          <w:rFonts w:ascii="楷体" w:hAnsi="楷体" w:eastAsia="楷体" w:cs="Times New Roman"/>
          <w:sz w:val="32"/>
          <w:szCs w:val="32"/>
          <w:u w:val="single"/>
          <w14:ligatures w14:val="none"/>
        </w:rPr>
        <w:t xml:space="preserve">  中国科学院力学研究所  </w:t>
      </w:r>
    </w:p>
    <w:p w14:paraId="5F52696C">
      <w:pPr>
        <w:jc w:val="center"/>
        <w:rPr>
          <w:rFonts w:hint="eastAsia" w:ascii="楷体" w:hAnsi="楷体" w:eastAsia="楷体" w:cs="Times New Roman"/>
          <w:sz w:val="32"/>
          <w:szCs w:val="32"/>
          <w14:ligatures w14:val="none"/>
        </w:rPr>
      </w:pPr>
      <w:r>
        <w:rPr>
          <w:rFonts w:ascii="楷体" w:hAnsi="楷体" w:eastAsia="楷体" w:cs="微软雅黑"/>
          <w:sz w:val="32"/>
          <w:szCs w:val="32"/>
          <w14:ligatures w14:val="none"/>
        </w:rPr>
        <w:t>团队</w:t>
      </w:r>
      <w:r>
        <w:rPr>
          <w:rFonts w:ascii="楷体" w:hAnsi="楷体" w:eastAsia="楷体" w:cs="MS Mincho"/>
          <w:sz w:val="32"/>
          <w:szCs w:val="32"/>
          <w14:ligatures w14:val="none"/>
        </w:rPr>
        <w:t>成</w:t>
      </w:r>
      <w:r>
        <w:rPr>
          <w:rFonts w:ascii="楷体" w:hAnsi="楷体" w:eastAsia="楷体" w:cs="微软雅黑"/>
          <w:sz w:val="32"/>
          <w:szCs w:val="32"/>
          <w14:ligatures w14:val="none"/>
        </w:rPr>
        <w:t>员</w:t>
      </w:r>
      <w:r>
        <w:rPr>
          <w:rFonts w:ascii="楷体" w:hAnsi="楷体" w:eastAsia="楷体" w:cs="MS Mincho"/>
          <w:sz w:val="32"/>
          <w:szCs w:val="32"/>
          <w14:ligatures w14:val="none"/>
        </w:rPr>
        <w:t>：</w:t>
      </w:r>
      <w:r>
        <w:rPr>
          <w:rFonts w:ascii="楷体" w:hAnsi="楷体" w:eastAsia="楷体" w:cs="MS Mincho"/>
          <w:sz w:val="32"/>
          <w:szCs w:val="32"/>
          <w:u w:val="single"/>
          <w14:ligatures w14:val="none"/>
        </w:rPr>
        <w:t xml:space="preserve">  </w:t>
      </w:r>
      <w:r>
        <w:rPr>
          <w:rFonts w:ascii="楷体" w:hAnsi="楷体" w:eastAsia="楷体" w:cs="Times New Roman"/>
          <w:sz w:val="32"/>
          <w:szCs w:val="32"/>
          <w:u w:val="single"/>
          <w14:ligatures w14:val="none"/>
        </w:rPr>
        <w:t>安翼、</w:t>
      </w:r>
      <w:r>
        <w:rPr>
          <w:rFonts w:hint="eastAsia" w:ascii="楷体" w:hAnsi="楷体" w:eastAsia="楷体" w:cs="Times New Roman"/>
          <w:sz w:val="32"/>
          <w:szCs w:val="32"/>
          <w:u w:val="single"/>
          <w14:ligatures w14:val="none"/>
        </w:rPr>
        <w:t>姜浩东、张林、</w:t>
      </w:r>
      <w:r>
        <w:rPr>
          <w:rFonts w:ascii="楷体" w:hAnsi="楷体" w:eastAsia="楷体" w:cs="Times New Roman"/>
          <w:sz w:val="32"/>
          <w:szCs w:val="32"/>
          <w:u w:val="single"/>
          <w14:ligatures w14:val="none"/>
        </w:rPr>
        <w:t xml:space="preserve">路仿龙  </w:t>
      </w:r>
    </w:p>
    <w:p w14:paraId="77A334AA">
      <w:pPr>
        <w:jc w:val="center"/>
        <w:rPr>
          <w:rFonts w:eastAsia="黑体" w:cs="Times New Roman"/>
          <w:b/>
          <w:sz w:val="36"/>
          <w:szCs w:val="36"/>
          <w14:ligatures w14:val="none"/>
        </w:rPr>
      </w:pPr>
      <w:r>
        <w:rPr>
          <w:rFonts w:ascii="楷体" w:hAnsi="楷体" w:eastAsia="楷体" w:cs="Times New Roman"/>
          <w:sz w:val="32"/>
          <w:szCs w:val="32"/>
          <w14:ligatures w14:val="none"/>
        </w:rPr>
        <w:t>提交日期：202</w:t>
      </w:r>
      <w:r>
        <w:rPr>
          <w:rFonts w:hint="eastAsia" w:ascii="楷体" w:hAnsi="楷体" w:eastAsia="楷体" w:cs="Times New Roman"/>
          <w:sz w:val="32"/>
          <w:szCs w:val="32"/>
          <w14:ligatures w14:val="none"/>
        </w:rPr>
        <w:t>6</w:t>
      </w:r>
      <w:r>
        <w:rPr>
          <w:rFonts w:ascii="楷体" w:hAnsi="楷体" w:eastAsia="楷体" w:cs="Times New Roman"/>
          <w:sz w:val="32"/>
          <w:szCs w:val="32"/>
          <w14:ligatures w14:val="none"/>
        </w:rPr>
        <w:t>年</w:t>
      </w:r>
      <w:r>
        <w:rPr>
          <w:rFonts w:hint="eastAsia" w:ascii="楷体" w:hAnsi="楷体" w:eastAsia="楷体" w:cs="Times New Roman"/>
          <w:sz w:val="32"/>
          <w:szCs w:val="32"/>
          <w:u w:val="single"/>
          <w14:ligatures w14:val="none"/>
        </w:rPr>
        <w:t>8</w:t>
      </w:r>
      <w:r>
        <w:rPr>
          <w:rFonts w:ascii="楷体" w:hAnsi="楷体" w:eastAsia="楷体" w:cs="Times New Roman"/>
          <w:sz w:val="32"/>
          <w:szCs w:val="32"/>
          <w14:ligatures w14:val="none"/>
        </w:rPr>
        <w:t>月</w:t>
      </w:r>
      <w:r>
        <w:rPr>
          <w:rFonts w:ascii="楷体" w:hAnsi="楷体" w:eastAsia="楷体" w:cs="Times New Roman"/>
          <w:sz w:val="32"/>
          <w:szCs w:val="32"/>
          <w:u w:val="single"/>
          <w14:ligatures w14:val="none"/>
        </w:rPr>
        <w:t>3</w:t>
      </w:r>
      <w:r>
        <w:rPr>
          <w:rFonts w:hint="eastAsia" w:ascii="楷体" w:hAnsi="楷体" w:eastAsia="楷体" w:cs="Times New Roman"/>
          <w:sz w:val="32"/>
          <w:szCs w:val="32"/>
          <w:u w:val="single"/>
          <w14:ligatures w14:val="none"/>
        </w:rPr>
        <w:t>1</w:t>
      </w:r>
      <w:r>
        <w:rPr>
          <w:rFonts w:ascii="楷体" w:hAnsi="楷体" w:eastAsia="楷体" w:cs="Times New Roman"/>
          <w:sz w:val="32"/>
          <w:szCs w:val="32"/>
          <w14:ligatures w14:val="none"/>
        </w:rPr>
        <w:t>日</w:t>
      </w:r>
    </w:p>
    <w:p w14:paraId="28464B8F"/>
    <w:p w14:paraId="0670B98C">
      <w:pPr>
        <w:sectPr>
          <w:footerReference r:id="rId5" w:type="default"/>
          <w:pgSz w:w="11906" w:h="16838"/>
          <w:pgMar w:top="1440" w:right="1800" w:bottom="1440" w:left="1800" w:header="851" w:footer="992" w:gutter="0"/>
          <w:pgNumType w:start="0"/>
          <w:cols w:space="425" w:num="1"/>
          <w:titlePg/>
          <w:docGrid w:type="lines" w:linePitch="381" w:charSpace="0"/>
        </w:sectPr>
      </w:pPr>
    </w:p>
    <w:p w14:paraId="5550C5CD"/>
    <w:p w14:paraId="16C12CE8">
      <w:r>
        <w:br w:type="page"/>
      </w:r>
    </w:p>
    <w:p w14:paraId="0BE4752F">
      <w:pPr>
        <w:pStyle w:val="44"/>
        <w:jc w:val="center"/>
        <w:rPr>
          <w:rFonts w:hint="eastAsia"/>
        </w:rPr>
      </w:pPr>
      <w:r>
        <w:t>目录</w:t>
      </w:r>
    </w:p>
    <w:p w14:paraId="4F38D438">
      <w:pPr>
        <w:pStyle w:val="15"/>
        <w:tabs>
          <w:tab w:val="right" w:leader="dot" w:pos="8306"/>
        </w:tabs>
      </w:pPr>
      <w:r>
        <w:fldChar w:fldCharType="begin"/>
      </w:r>
      <w:r>
        <w:instrText xml:space="preserve"> TOC \o "1-3" \h \z \u </w:instrText>
      </w:r>
      <w:r>
        <w:fldChar w:fldCharType="separate"/>
      </w:r>
      <w:r>
        <w:fldChar w:fldCharType="begin"/>
      </w:r>
      <w:r>
        <w:instrText xml:space="preserve"> HYPERLINK \l _Toc7695 </w:instrText>
      </w:r>
      <w:r>
        <w:fldChar w:fldCharType="separate"/>
      </w:r>
      <w:r>
        <w:t>摘要</w:t>
      </w:r>
      <w:r>
        <w:tab/>
      </w:r>
      <w:r>
        <w:fldChar w:fldCharType="begin"/>
      </w:r>
      <w:r>
        <w:instrText xml:space="preserve"> PAGEREF _Toc7695 \h </w:instrText>
      </w:r>
      <w:r>
        <w:fldChar w:fldCharType="separate"/>
      </w:r>
      <w:r>
        <w:t>1</w:t>
      </w:r>
      <w:r>
        <w:fldChar w:fldCharType="end"/>
      </w:r>
      <w:r>
        <w:fldChar w:fldCharType="end"/>
      </w:r>
    </w:p>
    <w:p w14:paraId="5EDC2D97">
      <w:pPr>
        <w:pStyle w:val="15"/>
        <w:tabs>
          <w:tab w:val="right" w:leader="dot" w:pos="8306"/>
        </w:tabs>
      </w:pPr>
      <w:r>
        <w:fldChar w:fldCharType="begin"/>
      </w:r>
      <w:r>
        <w:instrText xml:space="preserve"> HYPERLINK \l _Toc20483 </w:instrText>
      </w:r>
      <w:r>
        <w:fldChar w:fldCharType="separate"/>
      </w:r>
      <w:r>
        <w:t>1. 引言</w:t>
      </w:r>
      <w:r>
        <w:tab/>
      </w:r>
      <w:r>
        <w:fldChar w:fldCharType="begin"/>
      </w:r>
      <w:r>
        <w:instrText xml:space="preserve"> PAGEREF _Toc20483 \h </w:instrText>
      </w:r>
      <w:r>
        <w:fldChar w:fldCharType="separate"/>
      </w:r>
      <w:r>
        <w:t>2</w:t>
      </w:r>
      <w:r>
        <w:fldChar w:fldCharType="end"/>
      </w:r>
      <w:r>
        <w:fldChar w:fldCharType="end"/>
      </w:r>
    </w:p>
    <w:p w14:paraId="4B2E6BF1">
      <w:pPr>
        <w:pStyle w:val="17"/>
        <w:tabs>
          <w:tab w:val="right" w:leader="dot" w:pos="8306"/>
        </w:tabs>
      </w:pPr>
      <w:r>
        <w:fldChar w:fldCharType="begin"/>
      </w:r>
      <w:r>
        <w:instrText xml:space="preserve"> HYPERLINK \l _Toc11269 </w:instrText>
      </w:r>
      <w:r>
        <w:fldChar w:fldCharType="separate"/>
      </w:r>
      <w:r>
        <w:t>1.1 自主科研智能体与 AI for Science</w:t>
      </w:r>
      <w:r>
        <w:tab/>
      </w:r>
      <w:r>
        <w:fldChar w:fldCharType="begin"/>
      </w:r>
      <w:r>
        <w:instrText xml:space="preserve"> PAGEREF _Toc11269 \h </w:instrText>
      </w:r>
      <w:r>
        <w:fldChar w:fldCharType="separate"/>
      </w:r>
      <w:r>
        <w:t>2</w:t>
      </w:r>
      <w:r>
        <w:fldChar w:fldCharType="end"/>
      </w:r>
      <w:r>
        <w:fldChar w:fldCharType="end"/>
      </w:r>
    </w:p>
    <w:p w14:paraId="06BE442E">
      <w:pPr>
        <w:pStyle w:val="17"/>
        <w:tabs>
          <w:tab w:val="right" w:leader="dot" w:pos="8306"/>
        </w:tabs>
      </w:pPr>
      <w:r>
        <w:fldChar w:fldCharType="begin"/>
      </w:r>
      <w:r>
        <w:instrText xml:space="preserve"> HYPERLINK \l _Toc32340 </w:instrText>
      </w:r>
      <w:r>
        <w:fldChar w:fldCharType="separate"/>
      </w:r>
      <w:r>
        <w:t>1.2 复杂仿真系统中的规律发现难题</w:t>
      </w:r>
      <w:r>
        <w:tab/>
      </w:r>
      <w:r>
        <w:fldChar w:fldCharType="begin"/>
      </w:r>
      <w:r>
        <w:instrText xml:space="preserve"> PAGEREF _Toc32340 \h </w:instrText>
      </w:r>
      <w:r>
        <w:fldChar w:fldCharType="separate"/>
      </w:r>
      <w:r>
        <w:t>3</w:t>
      </w:r>
      <w:r>
        <w:fldChar w:fldCharType="end"/>
      </w:r>
      <w:r>
        <w:fldChar w:fldCharType="end"/>
      </w:r>
    </w:p>
    <w:p w14:paraId="121B2F90">
      <w:pPr>
        <w:pStyle w:val="17"/>
        <w:tabs>
          <w:tab w:val="right" w:leader="dot" w:pos="8306"/>
        </w:tabs>
      </w:pPr>
      <w:r>
        <w:fldChar w:fldCharType="begin"/>
      </w:r>
      <w:r>
        <w:instrText xml:space="preserve"> HYPERLINK \l _Toc24727 </w:instrText>
      </w:r>
      <w:r>
        <w:fldChar w:fldCharType="separate"/>
      </w:r>
      <w:r>
        <w:t>1.3 颗粒流问题作为验证场景的动机</w:t>
      </w:r>
      <w:r>
        <w:tab/>
      </w:r>
      <w:r>
        <w:fldChar w:fldCharType="begin"/>
      </w:r>
      <w:r>
        <w:instrText xml:space="preserve"> PAGEREF _Toc24727 \h </w:instrText>
      </w:r>
      <w:r>
        <w:fldChar w:fldCharType="separate"/>
      </w:r>
      <w:r>
        <w:t>4</w:t>
      </w:r>
      <w:r>
        <w:fldChar w:fldCharType="end"/>
      </w:r>
      <w:r>
        <w:fldChar w:fldCharType="end"/>
      </w:r>
    </w:p>
    <w:p w14:paraId="21574081">
      <w:pPr>
        <w:pStyle w:val="17"/>
        <w:tabs>
          <w:tab w:val="right" w:leader="dot" w:pos="8306"/>
        </w:tabs>
      </w:pPr>
      <w:r>
        <w:fldChar w:fldCharType="begin"/>
      </w:r>
      <w:r>
        <w:instrText xml:space="preserve"> HYPERLINK \l _Toc18861 </w:instrText>
      </w:r>
      <w:r>
        <w:fldChar w:fldCharType="separate"/>
      </w:r>
      <w:r>
        <w:t>1.4 本文工作与主要贡献</w:t>
      </w:r>
      <w:r>
        <w:tab/>
      </w:r>
      <w:r>
        <w:fldChar w:fldCharType="begin"/>
      </w:r>
      <w:r>
        <w:instrText xml:space="preserve"> PAGEREF _Toc18861 \h </w:instrText>
      </w:r>
      <w:r>
        <w:fldChar w:fldCharType="separate"/>
      </w:r>
      <w:r>
        <w:t>5</w:t>
      </w:r>
      <w:r>
        <w:fldChar w:fldCharType="end"/>
      </w:r>
      <w:r>
        <w:fldChar w:fldCharType="end"/>
      </w:r>
    </w:p>
    <w:p w14:paraId="54AA8EDF">
      <w:pPr>
        <w:pStyle w:val="15"/>
        <w:tabs>
          <w:tab w:val="right" w:leader="dot" w:pos="8306"/>
        </w:tabs>
      </w:pPr>
      <w:r>
        <w:fldChar w:fldCharType="begin"/>
      </w:r>
      <w:r>
        <w:instrText xml:space="preserve"> HYPERLINK \l _Toc19580 </w:instrText>
      </w:r>
      <w:r>
        <w:fldChar w:fldCharType="separate"/>
      </w:r>
      <w:r>
        <w:t>2. 自主科研智能体系统框架</w:t>
      </w:r>
      <w:r>
        <w:tab/>
      </w:r>
      <w:r>
        <w:fldChar w:fldCharType="begin"/>
      </w:r>
      <w:r>
        <w:instrText xml:space="preserve"> PAGEREF _Toc19580 \h </w:instrText>
      </w:r>
      <w:r>
        <w:fldChar w:fldCharType="separate"/>
      </w:r>
      <w:r>
        <w:t>7</w:t>
      </w:r>
      <w:r>
        <w:fldChar w:fldCharType="end"/>
      </w:r>
      <w:r>
        <w:fldChar w:fldCharType="end"/>
      </w:r>
    </w:p>
    <w:p w14:paraId="784B705E">
      <w:pPr>
        <w:pStyle w:val="17"/>
        <w:tabs>
          <w:tab w:val="right" w:leader="dot" w:pos="8306"/>
        </w:tabs>
      </w:pPr>
      <w:r>
        <w:fldChar w:fldCharType="begin"/>
      </w:r>
      <w:r>
        <w:instrText xml:space="preserve"> HYPERLINK \l _Toc204 </w:instrText>
      </w:r>
      <w:r>
        <w:fldChar w:fldCharType="separate"/>
      </w:r>
      <w:r>
        <w:t>2.1 总体架构</w:t>
      </w:r>
      <w:r>
        <w:tab/>
      </w:r>
      <w:r>
        <w:fldChar w:fldCharType="begin"/>
      </w:r>
      <w:r>
        <w:instrText xml:space="preserve"> PAGEREF _Toc204 \h </w:instrText>
      </w:r>
      <w:r>
        <w:fldChar w:fldCharType="separate"/>
      </w:r>
      <w:r>
        <w:t>8</w:t>
      </w:r>
      <w:r>
        <w:fldChar w:fldCharType="end"/>
      </w:r>
      <w:r>
        <w:fldChar w:fldCharType="end"/>
      </w:r>
    </w:p>
    <w:p w14:paraId="56C6EEB6">
      <w:pPr>
        <w:pStyle w:val="17"/>
        <w:tabs>
          <w:tab w:val="right" w:leader="dot" w:pos="8306"/>
        </w:tabs>
      </w:pPr>
      <w:r>
        <w:fldChar w:fldCharType="begin"/>
      </w:r>
      <w:r>
        <w:instrText xml:space="preserve"> HYPERLINK \l _Toc2261 </w:instrText>
      </w:r>
      <w:r>
        <w:fldChar w:fldCharType="separate"/>
      </w:r>
      <w:r>
        <w:t>2.2 工具服务层</w:t>
      </w:r>
      <w:r>
        <w:tab/>
      </w:r>
      <w:r>
        <w:fldChar w:fldCharType="begin"/>
      </w:r>
      <w:r>
        <w:instrText xml:space="preserve"> PAGEREF _Toc2261 \h </w:instrText>
      </w:r>
      <w:r>
        <w:fldChar w:fldCharType="separate"/>
      </w:r>
      <w:r>
        <w:t>10</w:t>
      </w:r>
      <w:r>
        <w:fldChar w:fldCharType="end"/>
      </w:r>
      <w:r>
        <w:fldChar w:fldCharType="end"/>
      </w:r>
    </w:p>
    <w:p w14:paraId="1598C036">
      <w:pPr>
        <w:pStyle w:val="12"/>
        <w:tabs>
          <w:tab w:val="right" w:leader="dot" w:pos="8306"/>
        </w:tabs>
      </w:pPr>
      <w:r>
        <w:fldChar w:fldCharType="begin"/>
      </w:r>
      <w:r>
        <w:instrText xml:space="preserve"> HYPERLINK \l _Toc12350 </w:instrText>
      </w:r>
      <w:r>
        <w:fldChar w:fldCharType="separate"/>
      </w:r>
      <w:r>
        <w:t>2.2.1 离散元批量仿真服务</w:t>
      </w:r>
      <w:r>
        <w:tab/>
      </w:r>
      <w:r>
        <w:fldChar w:fldCharType="begin"/>
      </w:r>
      <w:r>
        <w:instrText xml:space="preserve"> PAGEREF _Toc12350 \h </w:instrText>
      </w:r>
      <w:r>
        <w:fldChar w:fldCharType="separate"/>
      </w:r>
      <w:r>
        <w:t>10</w:t>
      </w:r>
      <w:r>
        <w:fldChar w:fldCharType="end"/>
      </w:r>
      <w:r>
        <w:fldChar w:fldCharType="end"/>
      </w:r>
    </w:p>
    <w:p w14:paraId="46686F7E">
      <w:pPr>
        <w:pStyle w:val="12"/>
        <w:tabs>
          <w:tab w:val="right" w:leader="dot" w:pos="8306"/>
        </w:tabs>
      </w:pPr>
      <w:r>
        <w:fldChar w:fldCharType="begin"/>
      </w:r>
      <w:r>
        <w:instrText xml:space="preserve"> HYPERLINK \l _Toc12323 </w:instrText>
      </w:r>
      <w:r>
        <w:fldChar w:fldCharType="separate"/>
      </w:r>
      <w:r>
        <w:t>2.2.2 规律发现服务：数据驱动量纲分析</w:t>
      </w:r>
      <w:r>
        <w:tab/>
      </w:r>
      <w:r>
        <w:fldChar w:fldCharType="begin"/>
      </w:r>
      <w:r>
        <w:instrText xml:space="preserve"> PAGEREF _Toc12323 \h </w:instrText>
      </w:r>
      <w:r>
        <w:fldChar w:fldCharType="separate"/>
      </w:r>
      <w:r>
        <w:t>12</w:t>
      </w:r>
      <w:r>
        <w:fldChar w:fldCharType="end"/>
      </w:r>
      <w:r>
        <w:fldChar w:fldCharType="end"/>
      </w:r>
    </w:p>
    <w:p w14:paraId="403CE40F">
      <w:pPr>
        <w:pStyle w:val="12"/>
        <w:tabs>
          <w:tab w:val="right" w:leader="dot" w:pos="8306"/>
        </w:tabs>
      </w:pPr>
      <w:r>
        <w:fldChar w:fldCharType="begin"/>
      </w:r>
      <w:r>
        <w:instrText xml:space="preserve"> HYPERLINK \l _Toc28679 </w:instrText>
      </w:r>
      <w:r>
        <w:fldChar w:fldCharType="separate"/>
      </w:r>
      <w:r>
        <w:t>2.2.3 论文与图表工具</w:t>
      </w:r>
      <w:r>
        <w:tab/>
      </w:r>
      <w:r>
        <w:fldChar w:fldCharType="begin"/>
      </w:r>
      <w:r>
        <w:instrText xml:space="preserve"> PAGEREF _Toc28679 \h </w:instrText>
      </w:r>
      <w:r>
        <w:fldChar w:fldCharType="separate"/>
      </w:r>
      <w:r>
        <w:t>12</w:t>
      </w:r>
      <w:r>
        <w:fldChar w:fldCharType="end"/>
      </w:r>
      <w:r>
        <w:fldChar w:fldCharType="end"/>
      </w:r>
    </w:p>
    <w:p w14:paraId="11FA64D0">
      <w:pPr>
        <w:pStyle w:val="17"/>
        <w:tabs>
          <w:tab w:val="right" w:leader="dot" w:pos="8306"/>
        </w:tabs>
      </w:pPr>
      <w:r>
        <w:fldChar w:fldCharType="begin"/>
      </w:r>
      <w:r>
        <w:instrText xml:space="preserve"> HYPERLINK \l _Toc19416 </w:instrText>
      </w:r>
      <w:r>
        <w:fldChar w:fldCharType="separate"/>
      </w:r>
      <w:r>
        <w:t>2.3 自主研究工作流与可靠性机制</w:t>
      </w:r>
      <w:r>
        <w:tab/>
      </w:r>
      <w:r>
        <w:fldChar w:fldCharType="begin"/>
      </w:r>
      <w:r>
        <w:instrText xml:space="preserve"> PAGEREF _Toc19416 \h </w:instrText>
      </w:r>
      <w:r>
        <w:fldChar w:fldCharType="separate"/>
      </w:r>
      <w:r>
        <w:t>13</w:t>
      </w:r>
      <w:r>
        <w:fldChar w:fldCharType="end"/>
      </w:r>
      <w:r>
        <w:fldChar w:fldCharType="end"/>
      </w:r>
    </w:p>
    <w:p w14:paraId="55CC6A38">
      <w:pPr>
        <w:pStyle w:val="17"/>
        <w:tabs>
          <w:tab w:val="right" w:leader="dot" w:pos="8306"/>
        </w:tabs>
      </w:pPr>
      <w:r>
        <w:fldChar w:fldCharType="begin"/>
      </w:r>
      <w:r>
        <w:instrText xml:space="preserve"> HYPERLINK \l _Toc5980 </w:instrText>
      </w:r>
      <w:r>
        <w:fldChar w:fldCharType="separate"/>
      </w:r>
      <w:r>
        <w:t>2.4 文献检索与知识约束</w:t>
      </w:r>
      <w:r>
        <w:tab/>
      </w:r>
      <w:r>
        <w:fldChar w:fldCharType="begin"/>
      </w:r>
      <w:r>
        <w:instrText xml:space="preserve"> PAGEREF _Toc5980 \h </w:instrText>
      </w:r>
      <w:r>
        <w:fldChar w:fldCharType="separate"/>
      </w:r>
      <w:r>
        <w:t>14</w:t>
      </w:r>
      <w:r>
        <w:fldChar w:fldCharType="end"/>
      </w:r>
      <w:r>
        <w:fldChar w:fldCharType="end"/>
      </w:r>
    </w:p>
    <w:p w14:paraId="34559F5C">
      <w:pPr>
        <w:pStyle w:val="17"/>
        <w:tabs>
          <w:tab w:val="right" w:leader="dot" w:pos="8306"/>
        </w:tabs>
      </w:pPr>
      <w:r>
        <w:fldChar w:fldCharType="begin"/>
      </w:r>
      <w:r>
        <w:instrText xml:space="preserve"> HYPERLINK \l _Toc17307 </w:instrText>
      </w:r>
      <w:r>
        <w:fldChar w:fldCharType="separate"/>
      </w:r>
      <w:r>
        <w:t>2.5 验证对象：振动颗粒体系及其相态现象学</w:t>
      </w:r>
      <w:r>
        <w:tab/>
      </w:r>
      <w:r>
        <w:fldChar w:fldCharType="begin"/>
      </w:r>
      <w:r>
        <w:instrText xml:space="preserve"> PAGEREF _Toc17307 \h </w:instrText>
      </w:r>
      <w:r>
        <w:fldChar w:fldCharType="separate"/>
      </w:r>
      <w:r>
        <w:t>15</w:t>
      </w:r>
      <w:r>
        <w:fldChar w:fldCharType="end"/>
      </w:r>
      <w:r>
        <w:fldChar w:fldCharType="end"/>
      </w:r>
    </w:p>
    <w:p w14:paraId="0D87D6E5">
      <w:pPr>
        <w:pStyle w:val="17"/>
        <w:tabs>
          <w:tab w:val="right" w:leader="dot" w:pos="8306"/>
        </w:tabs>
      </w:pPr>
      <w:r>
        <w:fldChar w:fldCharType="begin"/>
      </w:r>
      <w:r>
        <w:instrText xml:space="preserve"> HYPERLINK \l _Toc20334 </w:instrText>
      </w:r>
      <w:r>
        <w:fldChar w:fldCharType="separate"/>
      </w:r>
      <w:r>
        <w:t>2.6 响应量与仿真方案</w:t>
      </w:r>
      <w:r>
        <w:tab/>
      </w:r>
      <w:r>
        <w:fldChar w:fldCharType="begin"/>
      </w:r>
      <w:r>
        <w:instrText xml:space="preserve"> PAGEREF _Toc20334 \h </w:instrText>
      </w:r>
      <w:r>
        <w:fldChar w:fldCharType="separate"/>
      </w:r>
      <w:r>
        <w:t>16</w:t>
      </w:r>
      <w:r>
        <w:fldChar w:fldCharType="end"/>
      </w:r>
      <w:r>
        <w:fldChar w:fldCharType="end"/>
      </w:r>
    </w:p>
    <w:p w14:paraId="6400FD6D">
      <w:pPr>
        <w:pStyle w:val="17"/>
        <w:tabs>
          <w:tab w:val="right" w:leader="dot" w:pos="8306"/>
        </w:tabs>
      </w:pPr>
      <w:r>
        <w:fldChar w:fldCharType="begin"/>
      </w:r>
      <w:r>
        <w:instrText xml:space="preserve"> HYPERLINK \l _Toc882 </w:instrText>
      </w:r>
      <w:r>
        <w:fldChar w:fldCharType="separate"/>
      </w:r>
      <w:r>
        <w:t>2.7 数据驱动量纲分析与自动分区</w:t>
      </w:r>
      <w:r>
        <w:tab/>
      </w:r>
      <w:r>
        <w:fldChar w:fldCharType="begin"/>
      </w:r>
      <w:r>
        <w:instrText xml:space="preserve"> PAGEREF _Toc882 \h </w:instrText>
      </w:r>
      <w:r>
        <w:fldChar w:fldCharType="separate"/>
      </w:r>
      <w:r>
        <w:t>17</w:t>
      </w:r>
      <w:r>
        <w:fldChar w:fldCharType="end"/>
      </w:r>
      <w:r>
        <w:fldChar w:fldCharType="end"/>
      </w:r>
    </w:p>
    <w:p w14:paraId="5AA808BA">
      <w:pPr>
        <w:pStyle w:val="17"/>
        <w:tabs>
          <w:tab w:val="right" w:leader="dot" w:pos="8306"/>
        </w:tabs>
      </w:pPr>
      <w:r>
        <w:fldChar w:fldCharType="begin"/>
      </w:r>
      <w:r>
        <w:instrText xml:space="preserve"> HYPERLINK \l _Toc1373 </w:instrText>
      </w:r>
      <w:r>
        <w:fldChar w:fldCharType="separate"/>
      </w:r>
      <w:r>
        <w:t>2.8 结果验证与论文产出</w:t>
      </w:r>
      <w:r>
        <w:tab/>
      </w:r>
      <w:r>
        <w:fldChar w:fldCharType="begin"/>
      </w:r>
      <w:r>
        <w:instrText xml:space="preserve"> PAGEREF _Toc1373 \h </w:instrText>
      </w:r>
      <w:r>
        <w:fldChar w:fldCharType="separate"/>
      </w:r>
      <w:r>
        <w:t>18</w:t>
      </w:r>
      <w:r>
        <w:fldChar w:fldCharType="end"/>
      </w:r>
      <w:r>
        <w:fldChar w:fldCharType="end"/>
      </w:r>
    </w:p>
    <w:p w14:paraId="1AF97028">
      <w:pPr>
        <w:pStyle w:val="15"/>
        <w:tabs>
          <w:tab w:val="right" w:leader="dot" w:pos="8306"/>
        </w:tabs>
      </w:pPr>
      <w:r>
        <w:fldChar w:fldCharType="begin"/>
      </w:r>
      <w:r>
        <w:instrText xml:space="preserve"> HYPERLINK \l _Toc30828 </w:instrText>
      </w:r>
      <w:r>
        <w:fldChar w:fldCharType="separate"/>
      </w:r>
      <w:r>
        <w:t>3. 实验设置与评价标准</w:t>
      </w:r>
      <w:r>
        <w:tab/>
      </w:r>
      <w:r>
        <w:fldChar w:fldCharType="begin"/>
      </w:r>
      <w:r>
        <w:instrText xml:space="preserve"> PAGEREF _Toc30828 \h </w:instrText>
      </w:r>
      <w:r>
        <w:fldChar w:fldCharType="separate"/>
      </w:r>
      <w:r>
        <w:t>19</w:t>
      </w:r>
      <w:r>
        <w:fldChar w:fldCharType="end"/>
      </w:r>
      <w:r>
        <w:fldChar w:fldCharType="end"/>
      </w:r>
    </w:p>
    <w:p w14:paraId="6AEDCB03">
      <w:pPr>
        <w:pStyle w:val="17"/>
        <w:tabs>
          <w:tab w:val="right" w:leader="dot" w:pos="8306"/>
        </w:tabs>
      </w:pPr>
      <w:r>
        <w:fldChar w:fldCharType="begin"/>
      </w:r>
      <w:r>
        <w:instrText xml:space="preserve"> HYPERLINK \l _Toc31930 </w:instrText>
      </w:r>
      <w:r>
        <w:fldChar w:fldCharType="separate"/>
      </w:r>
      <w:r>
        <w:t>3.1 实验环境</w:t>
      </w:r>
      <w:r>
        <w:tab/>
      </w:r>
      <w:r>
        <w:fldChar w:fldCharType="begin"/>
      </w:r>
      <w:r>
        <w:instrText xml:space="preserve"> PAGEREF _Toc31930 \h </w:instrText>
      </w:r>
      <w:r>
        <w:fldChar w:fldCharType="separate"/>
      </w:r>
      <w:r>
        <w:t>19</w:t>
      </w:r>
      <w:r>
        <w:fldChar w:fldCharType="end"/>
      </w:r>
      <w:r>
        <w:fldChar w:fldCharType="end"/>
      </w:r>
    </w:p>
    <w:p w14:paraId="055562F5">
      <w:pPr>
        <w:pStyle w:val="17"/>
        <w:tabs>
          <w:tab w:val="right" w:leader="dot" w:pos="8306"/>
        </w:tabs>
      </w:pPr>
      <w:r>
        <w:fldChar w:fldCharType="begin"/>
      </w:r>
      <w:r>
        <w:instrText xml:space="preserve"> HYPERLINK \l _Toc16269 </w:instrText>
      </w:r>
      <w:r>
        <w:fldChar w:fldCharType="separate"/>
      </w:r>
      <w:r>
        <w:t>3.2 验证任务</w:t>
      </w:r>
      <w:r>
        <w:tab/>
      </w:r>
      <w:r>
        <w:fldChar w:fldCharType="begin"/>
      </w:r>
      <w:r>
        <w:instrText xml:space="preserve"> PAGEREF _Toc16269 \h </w:instrText>
      </w:r>
      <w:r>
        <w:fldChar w:fldCharType="separate"/>
      </w:r>
      <w:r>
        <w:t>19</w:t>
      </w:r>
      <w:r>
        <w:fldChar w:fldCharType="end"/>
      </w:r>
      <w:r>
        <w:fldChar w:fldCharType="end"/>
      </w:r>
    </w:p>
    <w:p w14:paraId="1DDE6190">
      <w:pPr>
        <w:pStyle w:val="17"/>
        <w:tabs>
          <w:tab w:val="right" w:leader="dot" w:pos="8306"/>
        </w:tabs>
      </w:pPr>
      <w:r>
        <w:fldChar w:fldCharType="begin"/>
      </w:r>
      <w:r>
        <w:instrText xml:space="preserve"> HYPERLINK \l _Toc3921 </w:instrText>
      </w:r>
      <w:r>
        <w:fldChar w:fldCharType="separate"/>
      </w:r>
      <w:r>
        <w:t>3.3 评价指标</w:t>
      </w:r>
      <w:r>
        <w:tab/>
      </w:r>
      <w:r>
        <w:fldChar w:fldCharType="begin"/>
      </w:r>
      <w:r>
        <w:instrText xml:space="preserve"> PAGEREF _Toc3921 \h </w:instrText>
      </w:r>
      <w:r>
        <w:fldChar w:fldCharType="separate"/>
      </w:r>
      <w:r>
        <w:t>20</w:t>
      </w:r>
      <w:r>
        <w:fldChar w:fldCharType="end"/>
      </w:r>
      <w:r>
        <w:fldChar w:fldCharType="end"/>
      </w:r>
    </w:p>
    <w:p w14:paraId="02AC29EE">
      <w:pPr>
        <w:pStyle w:val="17"/>
        <w:tabs>
          <w:tab w:val="right" w:leader="dot" w:pos="8306"/>
        </w:tabs>
      </w:pPr>
      <w:r>
        <w:fldChar w:fldCharType="begin"/>
      </w:r>
      <w:r>
        <w:instrText xml:space="preserve"> HYPERLINK \l _Toc251 </w:instrText>
      </w:r>
      <w:r>
        <w:fldChar w:fldCharType="separate"/>
      </w:r>
      <w:r>
        <w:t>3.4 基线与消融设置</w:t>
      </w:r>
      <w:r>
        <w:tab/>
      </w:r>
      <w:r>
        <w:fldChar w:fldCharType="begin"/>
      </w:r>
      <w:r>
        <w:instrText xml:space="preserve"> PAGEREF _Toc251 \h </w:instrText>
      </w:r>
      <w:r>
        <w:fldChar w:fldCharType="separate"/>
      </w:r>
      <w:r>
        <w:t>20</w:t>
      </w:r>
      <w:r>
        <w:fldChar w:fldCharType="end"/>
      </w:r>
      <w:r>
        <w:fldChar w:fldCharType="end"/>
      </w:r>
    </w:p>
    <w:p w14:paraId="79479644">
      <w:pPr>
        <w:pStyle w:val="15"/>
        <w:tabs>
          <w:tab w:val="right" w:leader="dot" w:pos="8306"/>
        </w:tabs>
      </w:pPr>
      <w:r>
        <w:fldChar w:fldCharType="begin"/>
      </w:r>
      <w:r>
        <w:instrText xml:space="preserve"> HYPERLINK \l _Toc19473 </w:instrText>
      </w:r>
      <w:r>
        <w:fldChar w:fldCharType="separate"/>
      </w:r>
      <w:r>
        <w:t>4. 自主科研能力验证</w:t>
      </w:r>
      <w:r>
        <w:tab/>
      </w:r>
      <w:r>
        <w:fldChar w:fldCharType="begin"/>
      </w:r>
      <w:r>
        <w:instrText xml:space="preserve"> PAGEREF _Toc19473 \h </w:instrText>
      </w:r>
      <w:r>
        <w:fldChar w:fldCharType="separate"/>
      </w:r>
      <w:r>
        <w:t>22</w:t>
      </w:r>
      <w:r>
        <w:fldChar w:fldCharType="end"/>
      </w:r>
      <w:r>
        <w:fldChar w:fldCharType="end"/>
      </w:r>
    </w:p>
    <w:p w14:paraId="6F484D9C">
      <w:pPr>
        <w:pStyle w:val="17"/>
        <w:tabs>
          <w:tab w:val="right" w:leader="dot" w:pos="8306"/>
        </w:tabs>
      </w:pPr>
      <w:r>
        <w:fldChar w:fldCharType="begin"/>
      </w:r>
      <w:r>
        <w:instrText xml:space="preserve"> HYPERLINK \l _Toc450 </w:instrText>
      </w:r>
      <w:r>
        <w:fldChar w:fldCharType="separate"/>
      </w:r>
      <w:r>
        <w:t>4.1 端到端自主研究过程</w:t>
      </w:r>
      <w:r>
        <w:tab/>
      </w:r>
      <w:r>
        <w:fldChar w:fldCharType="begin"/>
      </w:r>
      <w:r>
        <w:instrText xml:space="preserve"> PAGEREF _Toc450 \h </w:instrText>
      </w:r>
      <w:r>
        <w:fldChar w:fldCharType="separate"/>
      </w:r>
      <w:r>
        <w:t>22</w:t>
      </w:r>
      <w:r>
        <w:fldChar w:fldCharType="end"/>
      </w:r>
      <w:r>
        <w:fldChar w:fldCharType="end"/>
      </w:r>
    </w:p>
    <w:p w14:paraId="185610F2">
      <w:pPr>
        <w:pStyle w:val="17"/>
        <w:tabs>
          <w:tab w:val="right" w:leader="dot" w:pos="8306"/>
        </w:tabs>
      </w:pPr>
      <w:r>
        <w:fldChar w:fldCharType="begin"/>
      </w:r>
      <w:r>
        <w:instrText xml:space="preserve"> HYPERLINK \l _Toc30274 </w:instrText>
      </w:r>
      <w:r>
        <w:fldChar w:fldCharType="separate"/>
      </w:r>
      <w:r>
        <w:t>4.2 自动化实验设计与大规模仿真执行</w:t>
      </w:r>
      <w:r>
        <w:tab/>
      </w:r>
      <w:r>
        <w:fldChar w:fldCharType="begin"/>
      </w:r>
      <w:r>
        <w:instrText xml:space="preserve"> PAGEREF _Toc30274 \h </w:instrText>
      </w:r>
      <w:r>
        <w:fldChar w:fldCharType="separate"/>
      </w:r>
      <w:r>
        <w:t>23</w:t>
      </w:r>
      <w:r>
        <w:fldChar w:fldCharType="end"/>
      </w:r>
      <w:r>
        <w:fldChar w:fldCharType="end"/>
      </w:r>
    </w:p>
    <w:p w14:paraId="68A14855">
      <w:pPr>
        <w:pStyle w:val="17"/>
        <w:tabs>
          <w:tab w:val="right" w:leader="dot" w:pos="8306"/>
        </w:tabs>
      </w:pPr>
      <w:r>
        <w:fldChar w:fldCharType="begin"/>
      </w:r>
      <w:r>
        <w:instrText xml:space="preserve"> HYPERLINK \l _Toc2230 </w:instrText>
      </w:r>
      <w:r>
        <w:fldChar w:fldCharType="separate"/>
      </w:r>
      <w:r>
        <w:t>4.3 动能与势能的联合标度律</w:t>
      </w:r>
      <w:r>
        <w:tab/>
      </w:r>
      <w:r>
        <w:fldChar w:fldCharType="begin"/>
      </w:r>
      <w:r>
        <w:instrText xml:space="preserve"> PAGEREF _Toc2230 \h </w:instrText>
      </w:r>
      <w:r>
        <w:fldChar w:fldCharType="separate"/>
      </w:r>
      <w:r>
        <w:t>24</w:t>
      </w:r>
      <w:r>
        <w:fldChar w:fldCharType="end"/>
      </w:r>
      <w:r>
        <w:fldChar w:fldCharType="end"/>
      </w:r>
    </w:p>
    <w:p w14:paraId="45FEC996">
      <w:pPr>
        <w:pStyle w:val="17"/>
        <w:tabs>
          <w:tab w:val="right" w:leader="dot" w:pos="8306"/>
        </w:tabs>
      </w:pPr>
      <w:r>
        <w:fldChar w:fldCharType="begin"/>
      </w:r>
      <w:r>
        <w:instrText xml:space="preserve"> HYPERLINK \l _Toc12145 </w:instrText>
      </w:r>
      <w:r>
        <w:fldChar w:fldCharType="separate"/>
      </w:r>
      <w:r>
        <w:t>4.4 机制解释及其证据</w:t>
      </w:r>
      <w:r>
        <w:tab/>
      </w:r>
      <w:r>
        <w:fldChar w:fldCharType="begin"/>
      </w:r>
      <w:r>
        <w:instrText xml:space="preserve"> PAGEREF _Toc12145 \h </w:instrText>
      </w:r>
      <w:r>
        <w:fldChar w:fldCharType="separate"/>
      </w:r>
      <w:r>
        <w:t>26</w:t>
      </w:r>
      <w:r>
        <w:fldChar w:fldCharType="end"/>
      </w:r>
      <w:r>
        <w:fldChar w:fldCharType="end"/>
      </w:r>
    </w:p>
    <w:p w14:paraId="1C953BD0">
      <w:pPr>
        <w:pStyle w:val="17"/>
        <w:tabs>
          <w:tab w:val="right" w:leader="dot" w:pos="8306"/>
        </w:tabs>
      </w:pPr>
      <w:r>
        <w:fldChar w:fldCharType="begin"/>
      </w:r>
      <w:r>
        <w:instrText xml:space="preserve"> HYPERLINK \l _Toc22312 </w:instrText>
      </w:r>
      <w:r>
        <w:fldChar w:fldCharType="separate"/>
      </w:r>
      <w:r>
        <w:t>4.5 与人工研究流程的对比</w:t>
      </w:r>
      <w:r>
        <w:tab/>
      </w:r>
      <w:r>
        <w:fldChar w:fldCharType="begin"/>
      </w:r>
      <w:r>
        <w:instrText xml:space="preserve"> PAGEREF _Toc22312 \h </w:instrText>
      </w:r>
      <w:r>
        <w:fldChar w:fldCharType="separate"/>
      </w:r>
      <w:r>
        <w:t>29</w:t>
      </w:r>
      <w:r>
        <w:fldChar w:fldCharType="end"/>
      </w:r>
      <w:r>
        <w:fldChar w:fldCharType="end"/>
      </w:r>
    </w:p>
    <w:p w14:paraId="072990DF">
      <w:pPr>
        <w:pStyle w:val="17"/>
        <w:tabs>
          <w:tab w:val="right" w:leader="dot" w:pos="8306"/>
        </w:tabs>
      </w:pPr>
      <w:r>
        <w:fldChar w:fldCharType="begin"/>
      </w:r>
      <w:r>
        <w:instrText xml:space="preserve"> HYPERLINK \l _Toc10682 </w:instrText>
      </w:r>
      <w:r>
        <w:fldChar w:fldCharType="separate"/>
      </w:r>
      <w:r>
        <w:t>4.6 研究过程中的失败及其拦截纠正</w:t>
      </w:r>
      <w:r>
        <w:tab/>
      </w:r>
      <w:r>
        <w:fldChar w:fldCharType="begin"/>
      </w:r>
      <w:r>
        <w:instrText xml:space="preserve"> PAGEREF _Toc10682 \h </w:instrText>
      </w:r>
      <w:r>
        <w:fldChar w:fldCharType="separate"/>
      </w:r>
      <w:r>
        <w:t>30</w:t>
      </w:r>
      <w:r>
        <w:fldChar w:fldCharType="end"/>
      </w:r>
      <w:r>
        <w:fldChar w:fldCharType="end"/>
      </w:r>
    </w:p>
    <w:p w14:paraId="03853F9D">
      <w:pPr>
        <w:pStyle w:val="15"/>
        <w:tabs>
          <w:tab w:val="right" w:leader="dot" w:pos="8306"/>
        </w:tabs>
      </w:pPr>
      <w:r>
        <w:fldChar w:fldCharType="begin"/>
      </w:r>
      <w:r>
        <w:instrText xml:space="preserve"> HYPERLINK \l _Toc15506 </w:instrText>
      </w:r>
      <w:r>
        <w:fldChar w:fldCharType="separate"/>
      </w:r>
      <w:r>
        <w:t>5. 消融实验与模块有效性分析</w:t>
      </w:r>
      <w:r>
        <w:tab/>
      </w:r>
      <w:r>
        <w:fldChar w:fldCharType="begin"/>
      </w:r>
      <w:r>
        <w:instrText xml:space="preserve"> PAGEREF _Toc15506 \h </w:instrText>
      </w:r>
      <w:r>
        <w:fldChar w:fldCharType="separate"/>
      </w:r>
      <w:r>
        <w:t>31</w:t>
      </w:r>
      <w:r>
        <w:fldChar w:fldCharType="end"/>
      </w:r>
      <w:r>
        <w:fldChar w:fldCharType="end"/>
      </w:r>
    </w:p>
    <w:p w14:paraId="351B437B">
      <w:pPr>
        <w:pStyle w:val="17"/>
        <w:tabs>
          <w:tab w:val="right" w:leader="dot" w:pos="8306"/>
        </w:tabs>
      </w:pPr>
      <w:r>
        <w:fldChar w:fldCharType="begin"/>
      </w:r>
      <w:r>
        <w:instrText xml:space="preserve"> HYPERLINK \l _Toc27986 </w:instrText>
      </w:r>
      <w:r>
        <w:fldChar w:fldCharType="separate"/>
      </w:r>
      <w:r>
        <w:t>5.1 基座模型对照</w:t>
      </w:r>
      <w:r>
        <w:tab/>
      </w:r>
      <w:r>
        <w:fldChar w:fldCharType="begin"/>
      </w:r>
      <w:r>
        <w:instrText xml:space="preserve"> PAGEREF _Toc27986 \h </w:instrText>
      </w:r>
      <w:r>
        <w:fldChar w:fldCharType="separate"/>
      </w:r>
      <w:r>
        <w:t>32</w:t>
      </w:r>
      <w:r>
        <w:fldChar w:fldCharType="end"/>
      </w:r>
      <w:r>
        <w:fldChar w:fldCharType="end"/>
      </w:r>
    </w:p>
    <w:p w14:paraId="00381193">
      <w:pPr>
        <w:pStyle w:val="17"/>
        <w:tabs>
          <w:tab w:val="right" w:leader="dot" w:pos="8306"/>
        </w:tabs>
      </w:pPr>
      <w:r>
        <w:fldChar w:fldCharType="begin"/>
      </w:r>
      <w:r>
        <w:instrText xml:space="preserve"> HYPERLINK \l _Toc17514 </w:instrText>
      </w:r>
      <w:r>
        <w:fldChar w:fldCharType="separate"/>
      </w:r>
      <w:r>
        <w:t>5.2 外部文献检索的作用</w:t>
      </w:r>
      <w:r>
        <w:tab/>
      </w:r>
      <w:r>
        <w:fldChar w:fldCharType="begin"/>
      </w:r>
      <w:r>
        <w:instrText xml:space="preserve"> PAGEREF _Toc17514 \h </w:instrText>
      </w:r>
      <w:r>
        <w:fldChar w:fldCharType="separate"/>
      </w:r>
      <w:r>
        <w:t>33</w:t>
      </w:r>
      <w:r>
        <w:fldChar w:fldCharType="end"/>
      </w:r>
      <w:r>
        <w:fldChar w:fldCharType="end"/>
      </w:r>
    </w:p>
    <w:p w14:paraId="159252C2">
      <w:pPr>
        <w:pStyle w:val="17"/>
        <w:tabs>
          <w:tab w:val="right" w:leader="dot" w:pos="8306"/>
        </w:tabs>
      </w:pPr>
      <w:r>
        <w:fldChar w:fldCharType="begin"/>
      </w:r>
      <w:r>
        <w:instrText xml:space="preserve"> HYPERLINK \l _Toc21382 </w:instrText>
      </w:r>
      <w:r>
        <w:fldChar w:fldCharType="separate"/>
      </w:r>
      <w:r>
        <w:t>5.3 自动分区机制对规律发现的贡献</w:t>
      </w:r>
      <w:r>
        <w:tab/>
      </w:r>
      <w:r>
        <w:fldChar w:fldCharType="begin"/>
      </w:r>
      <w:r>
        <w:instrText xml:space="preserve"> PAGEREF _Toc21382 \h </w:instrText>
      </w:r>
      <w:r>
        <w:fldChar w:fldCharType="separate"/>
      </w:r>
      <w:r>
        <w:t>34</w:t>
      </w:r>
      <w:r>
        <w:fldChar w:fldCharType="end"/>
      </w:r>
      <w:r>
        <w:fldChar w:fldCharType="end"/>
      </w:r>
    </w:p>
    <w:p w14:paraId="71FD3D41">
      <w:pPr>
        <w:pStyle w:val="17"/>
        <w:tabs>
          <w:tab w:val="right" w:leader="dot" w:pos="8306"/>
        </w:tabs>
      </w:pPr>
      <w:r>
        <w:fldChar w:fldCharType="begin"/>
      </w:r>
      <w:r>
        <w:instrText xml:space="preserve"> HYPERLINK \l _Toc14263 </w:instrText>
      </w:r>
      <w:r>
        <w:fldChar w:fldCharType="separate"/>
      </w:r>
      <w:r>
        <w:t>5.4 其他关键组件的消融</w:t>
      </w:r>
      <w:r>
        <w:tab/>
      </w:r>
      <w:r>
        <w:fldChar w:fldCharType="begin"/>
      </w:r>
      <w:r>
        <w:instrText xml:space="preserve"> PAGEREF _Toc14263 \h </w:instrText>
      </w:r>
      <w:r>
        <w:fldChar w:fldCharType="separate"/>
      </w:r>
      <w:r>
        <w:t>36</w:t>
      </w:r>
      <w:r>
        <w:fldChar w:fldCharType="end"/>
      </w:r>
      <w:r>
        <w:fldChar w:fldCharType="end"/>
      </w:r>
    </w:p>
    <w:p w14:paraId="7A8DA431">
      <w:pPr>
        <w:pStyle w:val="12"/>
        <w:tabs>
          <w:tab w:val="right" w:leader="dot" w:pos="8306"/>
        </w:tabs>
      </w:pPr>
      <w:r>
        <w:fldChar w:fldCharType="begin"/>
      </w:r>
      <w:r>
        <w:instrText xml:space="preserve"> HYPERLINK \l _Toc10887 </w:instrText>
      </w:r>
      <w:r>
        <w:fldChar w:fldCharType="separate"/>
      </w:r>
      <w:r>
        <w:t>5.4.1 审稿门的质量把关作用</w:t>
      </w:r>
      <w:r>
        <w:tab/>
      </w:r>
      <w:r>
        <w:fldChar w:fldCharType="begin"/>
      </w:r>
      <w:r>
        <w:instrText xml:space="preserve"> PAGEREF _Toc10887 \h </w:instrText>
      </w:r>
      <w:r>
        <w:fldChar w:fldCharType="separate"/>
      </w:r>
      <w:r>
        <w:t>36</w:t>
      </w:r>
      <w:r>
        <w:fldChar w:fldCharType="end"/>
      </w:r>
      <w:r>
        <w:fldChar w:fldCharType="end"/>
      </w:r>
    </w:p>
    <w:p w14:paraId="76143560">
      <w:pPr>
        <w:pStyle w:val="12"/>
        <w:tabs>
          <w:tab w:val="right" w:leader="dot" w:pos="8306"/>
        </w:tabs>
      </w:pPr>
      <w:r>
        <w:fldChar w:fldCharType="begin"/>
      </w:r>
      <w:r>
        <w:instrText xml:space="preserve"> HYPERLINK \l _Toc14365 </w:instrText>
      </w:r>
      <w:r>
        <w:fldChar w:fldCharType="separate"/>
      </w:r>
      <w:r>
        <w:t>5.4.2 机制调查引导与防线冗余</w:t>
      </w:r>
      <w:r>
        <w:tab/>
      </w:r>
      <w:r>
        <w:fldChar w:fldCharType="begin"/>
      </w:r>
      <w:r>
        <w:instrText xml:space="preserve"> PAGEREF _Toc14365 \h </w:instrText>
      </w:r>
      <w:r>
        <w:fldChar w:fldCharType="separate"/>
      </w:r>
      <w:r>
        <w:t>37</w:t>
      </w:r>
      <w:r>
        <w:fldChar w:fldCharType="end"/>
      </w:r>
      <w:r>
        <w:fldChar w:fldCharType="end"/>
      </w:r>
    </w:p>
    <w:p w14:paraId="140DDB0E">
      <w:pPr>
        <w:pStyle w:val="12"/>
        <w:tabs>
          <w:tab w:val="right" w:leader="dot" w:pos="8306"/>
        </w:tabs>
      </w:pPr>
      <w:r>
        <w:fldChar w:fldCharType="begin"/>
      </w:r>
      <w:r>
        <w:instrText xml:space="preserve"> HYPERLINK \l _Toc20666 </w:instrText>
      </w:r>
      <w:r>
        <w:fldChar w:fldCharType="separate"/>
      </w:r>
      <w:r>
        <w:t>5.4.3 减少知识供给的影响</w:t>
      </w:r>
      <w:r>
        <w:tab/>
      </w:r>
      <w:r>
        <w:fldChar w:fldCharType="begin"/>
      </w:r>
      <w:r>
        <w:instrText xml:space="preserve"> PAGEREF _Toc20666 \h </w:instrText>
      </w:r>
      <w:r>
        <w:fldChar w:fldCharType="separate"/>
      </w:r>
      <w:r>
        <w:t>38</w:t>
      </w:r>
      <w:r>
        <w:fldChar w:fldCharType="end"/>
      </w:r>
      <w:r>
        <w:fldChar w:fldCharType="end"/>
      </w:r>
    </w:p>
    <w:p w14:paraId="524A2787">
      <w:pPr>
        <w:pStyle w:val="17"/>
        <w:tabs>
          <w:tab w:val="right" w:leader="dot" w:pos="8306"/>
        </w:tabs>
      </w:pPr>
      <w:r>
        <w:fldChar w:fldCharType="begin"/>
      </w:r>
      <w:r>
        <w:instrText xml:space="preserve"> HYPERLINK \l _Toc10361 </w:instrText>
      </w:r>
      <w:r>
        <w:fldChar w:fldCharType="separate"/>
      </w:r>
      <w:r>
        <w:t>5.5 消融结果总结</w:t>
      </w:r>
      <w:r>
        <w:tab/>
      </w:r>
      <w:r>
        <w:fldChar w:fldCharType="begin"/>
      </w:r>
      <w:r>
        <w:instrText xml:space="preserve"> PAGEREF _Toc10361 \h </w:instrText>
      </w:r>
      <w:r>
        <w:fldChar w:fldCharType="separate"/>
      </w:r>
      <w:r>
        <w:t>40</w:t>
      </w:r>
      <w:r>
        <w:fldChar w:fldCharType="end"/>
      </w:r>
      <w:r>
        <w:fldChar w:fldCharType="end"/>
      </w:r>
    </w:p>
    <w:p w14:paraId="3F65A8D5">
      <w:pPr>
        <w:pStyle w:val="15"/>
        <w:tabs>
          <w:tab w:val="right" w:leader="dot" w:pos="8306"/>
        </w:tabs>
      </w:pPr>
      <w:r>
        <w:fldChar w:fldCharType="begin"/>
      </w:r>
      <w:r>
        <w:instrText xml:space="preserve"> HYPERLINK \l _Toc19302 </w:instrText>
      </w:r>
      <w:r>
        <w:fldChar w:fldCharType="separate"/>
      </w:r>
      <w:r>
        <w:t>6. 平台原型验证与生态贡献</w:t>
      </w:r>
      <w:r>
        <w:tab/>
      </w:r>
      <w:r>
        <w:fldChar w:fldCharType="begin"/>
      </w:r>
      <w:r>
        <w:instrText xml:space="preserve"> PAGEREF _Toc19302 \h </w:instrText>
      </w:r>
      <w:r>
        <w:fldChar w:fldCharType="separate"/>
      </w:r>
      <w:r>
        <w:t>43</w:t>
      </w:r>
      <w:r>
        <w:fldChar w:fldCharType="end"/>
      </w:r>
      <w:r>
        <w:fldChar w:fldCharType="end"/>
      </w:r>
    </w:p>
    <w:p w14:paraId="4E0082B1">
      <w:pPr>
        <w:pStyle w:val="17"/>
        <w:tabs>
          <w:tab w:val="right" w:leader="dot" w:pos="8306"/>
        </w:tabs>
      </w:pPr>
      <w:r>
        <w:fldChar w:fldCharType="begin"/>
      </w:r>
      <w:r>
        <w:instrText xml:space="preserve"> HYPERLINK \l _Toc30544 </w:instrText>
      </w:r>
      <w:r>
        <w:fldChar w:fldCharType="separate"/>
      </w:r>
      <w:r>
        <w:t>6.1 可复用的 MCP 工具服务</w:t>
      </w:r>
      <w:r>
        <w:tab/>
      </w:r>
      <w:r>
        <w:fldChar w:fldCharType="begin"/>
      </w:r>
      <w:r>
        <w:instrText xml:space="preserve"> PAGEREF _Toc30544 \h </w:instrText>
      </w:r>
      <w:r>
        <w:fldChar w:fldCharType="separate"/>
      </w:r>
      <w:r>
        <w:t>43</w:t>
      </w:r>
      <w:r>
        <w:fldChar w:fldCharType="end"/>
      </w:r>
      <w:r>
        <w:fldChar w:fldCharType="end"/>
      </w:r>
    </w:p>
    <w:p w14:paraId="72132D6B">
      <w:pPr>
        <w:pStyle w:val="17"/>
        <w:tabs>
          <w:tab w:val="right" w:leader="dot" w:pos="8306"/>
        </w:tabs>
      </w:pPr>
      <w:r>
        <w:fldChar w:fldCharType="begin"/>
      </w:r>
      <w:r>
        <w:instrText xml:space="preserve"> HYPERLINK \l _Toc15349 </w:instrText>
      </w:r>
      <w:r>
        <w:fldChar w:fldCharType="separate"/>
      </w:r>
      <w:r>
        <w:t>6.2 平台工作流上的端到端原型</w:t>
      </w:r>
      <w:r>
        <w:tab/>
      </w:r>
      <w:r>
        <w:fldChar w:fldCharType="begin"/>
      </w:r>
      <w:r>
        <w:instrText xml:space="preserve"> PAGEREF _Toc15349 \h </w:instrText>
      </w:r>
      <w:r>
        <w:fldChar w:fldCharType="separate"/>
      </w:r>
      <w:r>
        <w:t>44</w:t>
      </w:r>
      <w:r>
        <w:fldChar w:fldCharType="end"/>
      </w:r>
      <w:r>
        <w:fldChar w:fldCharType="end"/>
      </w:r>
    </w:p>
    <w:p w14:paraId="52A16FE1">
      <w:pPr>
        <w:pStyle w:val="17"/>
        <w:tabs>
          <w:tab w:val="right" w:leader="dot" w:pos="8306"/>
        </w:tabs>
      </w:pPr>
      <w:r>
        <w:fldChar w:fldCharType="begin"/>
      </w:r>
      <w:r>
        <w:instrText xml:space="preserve"> HYPERLINK \l _Toc16779 </w:instrText>
      </w:r>
      <w:r>
        <w:fldChar w:fldCharType="separate"/>
      </w:r>
      <w:r>
        <w:t>6.3 从工作流到智能体</w:t>
      </w:r>
      <w:r>
        <w:tab/>
      </w:r>
      <w:r>
        <w:fldChar w:fldCharType="begin"/>
      </w:r>
      <w:r>
        <w:instrText xml:space="preserve"> PAGEREF _Toc16779 \h </w:instrText>
      </w:r>
      <w:r>
        <w:fldChar w:fldCharType="separate"/>
      </w:r>
      <w:r>
        <w:t>45</w:t>
      </w:r>
      <w:r>
        <w:fldChar w:fldCharType="end"/>
      </w:r>
      <w:r>
        <w:fldChar w:fldCharType="end"/>
      </w:r>
    </w:p>
    <w:p w14:paraId="1EA00540">
      <w:pPr>
        <w:pStyle w:val="15"/>
        <w:tabs>
          <w:tab w:val="right" w:leader="dot" w:pos="8306"/>
        </w:tabs>
      </w:pPr>
      <w:r>
        <w:fldChar w:fldCharType="begin"/>
      </w:r>
      <w:r>
        <w:instrText xml:space="preserve"> HYPERLINK \l _Toc28712 </w:instrText>
      </w:r>
      <w:r>
        <w:fldChar w:fldCharType="separate"/>
      </w:r>
      <w:r>
        <w:t>7. 讨论与局限</w:t>
      </w:r>
      <w:r>
        <w:tab/>
      </w:r>
      <w:r>
        <w:fldChar w:fldCharType="begin"/>
      </w:r>
      <w:r>
        <w:instrText xml:space="preserve"> PAGEREF _Toc28712 \h </w:instrText>
      </w:r>
      <w:r>
        <w:fldChar w:fldCharType="separate"/>
      </w:r>
      <w:r>
        <w:t>46</w:t>
      </w:r>
      <w:r>
        <w:fldChar w:fldCharType="end"/>
      </w:r>
      <w:r>
        <w:fldChar w:fldCharType="end"/>
      </w:r>
    </w:p>
    <w:p w14:paraId="10280A79">
      <w:pPr>
        <w:pStyle w:val="17"/>
        <w:tabs>
          <w:tab w:val="right" w:leader="dot" w:pos="8306"/>
        </w:tabs>
      </w:pPr>
      <w:r>
        <w:fldChar w:fldCharType="begin"/>
      </w:r>
      <w:r>
        <w:instrText xml:space="preserve"> HYPERLINK \l _Toc14436 </w:instrText>
      </w:r>
      <w:r>
        <w:fldChar w:fldCharType="separate"/>
      </w:r>
      <w:r>
        <w:t>7.1 与问答型、代码生成型智能体的区别</w:t>
      </w:r>
      <w:r>
        <w:tab/>
      </w:r>
      <w:r>
        <w:fldChar w:fldCharType="begin"/>
      </w:r>
      <w:r>
        <w:instrText xml:space="preserve"> PAGEREF _Toc14436 \h </w:instrText>
      </w:r>
      <w:r>
        <w:fldChar w:fldCharType="separate"/>
      </w:r>
      <w:r>
        <w:t>46</w:t>
      </w:r>
      <w:r>
        <w:fldChar w:fldCharType="end"/>
      </w:r>
      <w:r>
        <w:fldChar w:fldCharType="end"/>
      </w:r>
    </w:p>
    <w:p w14:paraId="67FE3819">
      <w:pPr>
        <w:pStyle w:val="17"/>
        <w:tabs>
          <w:tab w:val="right" w:leader="dot" w:pos="8306"/>
        </w:tabs>
      </w:pPr>
      <w:r>
        <w:fldChar w:fldCharType="begin"/>
      </w:r>
      <w:r>
        <w:instrText xml:space="preserve"> HYPERLINK \l _Toc27878 </w:instrText>
      </w:r>
      <w:r>
        <w:fldChar w:fldCharType="separate"/>
      </w:r>
      <w:r>
        <w:t>7.2 当前系统的局限</w:t>
      </w:r>
      <w:r>
        <w:tab/>
      </w:r>
      <w:r>
        <w:fldChar w:fldCharType="begin"/>
      </w:r>
      <w:r>
        <w:instrText xml:space="preserve"> PAGEREF _Toc27878 \h </w:instrText>
      </w:r>
      <w:r>
        <w:fldChar w:fldCharType="separate"/>
      </w:r>
      <w:r>
        <w:t>46</w:t>
      </w:r>
      <w:r>
        <w:fldChar w:fldCharType="end"/>
      </w:r>
      <w:r>
        <w:fldChar w:fldCharType="end"/>
      </w:r>
    </w:p>
    <w:p w14:paraId="6C1441E2">
      <w:pPr>
        <w:pStyle w:val="17"/>
        <w:tabs>
          <w:tab w:val="right" w:leader="dot" w:pos="8306"/>
        </w:tabs>
      </w:pPr>
      <w:r>
        <w:fldChar w:fldCharType="begin"/>
      </w:r>
      <w:r>
        <w:instrText xml:space="preserve"> HYPERLINK \l _Toc19311 </w:instrText>
      </w:r>
      <w:r>
        <w:fldChar w:fldCharType="separate"/>
      </w:r>
      <w:r>
        <w:t>7.3 展望</w:t>
      </w:r>
      <w:r>
        <w:tab/>
      </w:r>
      <w:r>
        <w:fldChar w:fldCharType="begin"/>
      </w:r>
      <w:r>
        <w:instrText xml:space="preserve"> PAGEREF _Toc19311 \h </w:instrText>
      </w:r>
      <w:r>
        <w:fldChar w:fldCharType="separate"/>
      </w:r>
      <w:r>
        <w:t>47</w:t>
      </w:r>
      <w:r>
        <w:fldChar w:fldCharType="end"/>
      </w:r>
      <w:r>
        <w:fldChar w:fldCharType="end"/>
      </w:r>
    </w:p>
    <w:p w14:paraId="36B476CD">
      <w:pPr>
        <w:pStyle w:val="15"/>
        <w:tabs>
          <w:tab w:val="right" w:leader="dot" w:pos="8306"/>
        </w:tabs>
      </w:pPr>
      <w:r>
        <w:fldChar w:fldCharType="begin"/>
      </w:r>
      <w:r>
        <w:instrText xml:space="preserve"> HYPERLINK \l _Toc4243 </w:instrText>
      </w:r>
      <w:r>
        <w:fldChar w:fldCharType="separate"/>
      </w:r>
      <w:r>
        <w:t>8. 结论</w:t>
      </w:r>
      <w:r>
        <w:tab/>
      </w:r>
      <w:r>
        <w:fldChar w:fldCharType="begin"/>
      </w:r>
      <w:r>
        <w:instrText xml:space="preserve"> PAGEREF _Toc4243 \h </w:instrText>
      </w:r>
      <w:r>
        <w:fldChar w:fldCharType="separate"/>
      </w:r>
      <w:r>
        <w:t>47</w:t>
      </w:r>
      <w:r>
        <w:fldChar w:fldCharType="end"/>
      </w:r>
      <w:r>
        <w:fldChar w:fldCharType="end"/>
      </w:r>
    </w:p>
    <w:p w14:paraId="4D0CCEBE">
      <w:pPr>
        <w:pStyle w:val="15"/>
        <w:tabs>
          <w:tab w:val="right" w:leader="dot" w:pos="8306"/>
        </w:tabs>
      </w:pPr>
      <w:r>
        <w:fldChar w:fldCharType="begin"/>
      </w:r>
      <w:r>
        <w:instrText xml:space="preserve"> HYPERLINK \l _Toc24606 </w:instrText>
      </w:r>
      <w:r>
        <w:fldChar w:fldCharType="separate"/>
      </w:r>
      <w:r>
        <w:t>附录A 复现指引</w:t>
      </w:r>
      <w:r>
        <w:tab/>
      </w:r>
      <w:r>
        <w:fldChar w:fldCharType="begin"/>
      </w:r>
      <w:r>
        <w:instrText xml:space="preserve"> PAGEREF _Toc24606 \h </w:instrText>
      </w:r>
      <w:r>
        <w:fldChar w:fldCharType="separate"/>
      </w:r>
      <w:r>
        <w:t>49</w:t>
      </w:r>
      <w:r>
        <w:fldChar w:fldCharType="end"/>
      </w:r>
      <w:r>
        <w:fldChar w:fldCharType="end"/>
      </w:r>
    </w:p>
    <w:p w14:paraId="25308AD0">
      <w:pPr>
        <w:pStyle w:val="15"/>
        <w:tabs>
          <w:tab w:val="right" w:leader="dot" w:pos="8306"/>
        </w:tabs>
      </w:pPr>
      <w:r>
        <w:fldChar w:fldCharType="begin"/>
      </w:r>
      <w:r>
        <w:instrText xml:space="preserve"> HYPERLINK \l _Toc4367 </w:instrText>
      </w:r>
      <w:r>
        <w:fldChar w:fldCharType="separate"/>
      </w:r>
      <w:r>
        <w:t>附录B 实现细节与参数清单</w:t>
      </w:r>
      <w:r>
        <w:tab/>
      </w:r>
      <w:r>
        <w:fldChar w:fldCharType="begin"/>
      </w:r>
      <w:r>
        <w:instrText xml:space="preserve"> PAGEREF _Toc4367 \h </w:instrText>
      </w:r>
      <w:r>
        <w:fldChar w:fldCharType="separate"/>
      </w:r>
      <w:r>
        <w:t>51</w:t>
      </w:r>
      <w:r>
        <w:fldChar w:fldCharType="end"/>
      </w:r>
      <w:r>
        <w:fldChar w:fldCharType="end"/>
      </w:r>
    </w:p>
    <w:p w14:paraId="2DA7E583">
      <w:pPr>
        <w:pStyle w:val="17"/>
        <w:tabs>
          <w:tab w:val="right" w:leader="dot" w:pos="8306"/>
        </w:tabs>
      </w:pPr>
      <w:r>
        <w:fldChar w:fldCharType="begin"/>
      </w:r>
      <w:r>
        <w:instrText xml:space="preserve"> HYPERLINK \l _Toc27185 </w:instrText>
      </w:r>
      <w:r>
        <w:fldChar w:fldCharType="separate"/>
      </w:r>
      <w:r>
        <w:t>B.1 物理模型与固定参数</w:t>
      </w:r>
      <w:r>
        <w:tab/>
      </w:r>
      <w:r>
        <w:fldChar w:fldCharType="begin"/>
      </w:r>
      <w:r>
        <w:instrText xml:space="preserve"> PAGEREF _Toc27185 \h </w:instrText>
      </w:r>
      <w:r>
        <w:fldChar w:fldCharType="separate"/>
      </w:r>
      <w:r>
        <w:t>51</w:t>
      </w:r>
      <w:r>
        <w:fldChar w:fldCharType="end"/>
      </w:r>
      <w:r>
        <w:fldChar w:fldCharType="end"/>
      </w:r>
    </w:p>
    <w:p w14:paraId="4C932ADC">
      <w:pPr>
        <w:pStyle w:val="17"/>
        <w:tabs>
          <w:tab w:val="right" w:leader="dot" w:pos="8306"/>
        </w:tabs>
      </w:pPr>
      <w:r>
        <w:fldChar w:fldCharType="begin"/>
      </w:r>
      <w:r>
        <w:instrText xml:space="preserve"> HYPERLINK \l _Toc31446 </w:instrText>
      </w:r>
      <w:r>
        <w:fldChar w:fldCharType="separate"/>
      </w:r>
      <w:r>
        <w:t>B.2 无量纲设计到仿真配置的换算</w:t>
      </w:r>
      <w:r>
        <w:tab/>
      </w:r>
      <w:r>
        <w:fldChar w:fldCharType="begin"/>
      </w:r>
      <w:r>
        <w:instrText xml:space="preserve"> PAGEREF _Toc31446 \h </w:instrText>
      </w:r>
      <w:r>
        <w:fldChar w:fldCharType="separate"/>
      </w:r>
      <w:r>
        <w:t>51</w:t>
      </w:r>
      <w:r>
        <w:fldChar w:fldCharType="end"/>
      </w:r>
      <w:r>
        <w:fldChar w:fldCharType="end"/>
      </w:r>
    </w:p>
    <w:p w14:paraId="4CC6560B">
      <w:pPr>
        <w:pStyle w:val="17"/>
        <w:tabs>
          <w:tab w:val="right" w:leader="dot" w:pos="8306"/>
        </w:tabs>
      </w:pPr>
      <w:r>
        <w:fldChar w:fldCharType="begin"/>
      </w:r>
      <w:r>
        <w:instrText xml:space="preserve"> HYPERLINK \l _Toc5370 </w:instrText>
      </w:r>
      <w:r>
        <w:fldChar w:fldCharType="separate"/>
      </w:r>
      <w:r>
        <w:t>B.3 智能体工具面清单</w:t>
      </w:r>
      <w:r>
        <w:tab/>
      </w:r>
      <w:r>
        <w:fldChar w:fldCharType="begin"/>
      </w:r>
      <w:r>
        <w:instrText xml:space="preserve"> PAGEREF _Toc5370 \h </w:instrText>
      </w:r>
      <w:r>
        <w:fldChar w:fldCharType="separate"/>
      </w:r>
      <w:r>
        <w:t>52</w:t>
      </w:r>
      <w:r>
        <w:fldChar w:fldCharType="end"/>
      </w:r>
      <w:r>
        <w:fldChar w:fldCharType="end"/>
      </w:r>
    </w:p>
    <w:p w14:paraId="70D55CB9">
      <w:pPr>
        <w:pStyle w:val="17"/>
        <w:tabs>
          <w:tab w:val="right" w:leader="dot" w:pos="8306"/>
        </w:tabs>
      </w:pPr>
      <w:r>
        <w:fldChar w:fldCharType="begin"/>
      </w:r>
      <w:r>
        <w:instrText xml:space="preserve"> HYPERLINK \l _Toc16841 </w:instrText>
      </w:r>
      <w:r>
        <w:fldChar w:fldCharType="separate"/>
      </w:r>
      <w:r>
        <w:t>B.4 规律发现服务关键参数</w:t>
      </w:r>
      <w:r>
        <w:tab/>
      </w:r>
      <w:r>
        <w:fldChar w:fldCharType="begin"/>
      </w:r>
      <w:r>
        <w:instrText xml:space="preserve"> PAGEREF _Toc16841 \h </w:instrText>
      </w:r>
      <w:r>
        <w:fldChar w:fldCharType="separate"/>
      </w:r>
      <w:r>
        <w:t>53</w:t>
      </w:r>
      <w:r>
        <w:fldChar w:fldCharType="end"/>
      </w:r>
      <w:r>
        <w:fldChar w:fldCharType="end"/>
      </w:r>
    </w:p>
    <w:p w14:paraId="1CE75C5A">
      <w:pPr>
        <w:pStyle w:val="17"/>
        <w:tabs>
          <w:tab w:val="right" w:leader="dot" w:pos="8306"/>
        </w:tabs>
      </w:pPr>
      <w:r>
        <w:fldChar w:fldCharType="begin"/>
      </w:r>
      <w:r>
        <w:instrText xml:space="preserve"> HYPERLINK \l _Toc27477 </w:instrText>
      </w:r>
      <w:r>
        <w:fldChar w:fldCharType="separate"/>
      </w:r>
      <w:r>
        <w:t>B.5 主要符号与结果口径</w:t>
      </w:r>
      <w:r>
        <w:tab/>
      </w:r>
      <w:r>
        <w:fldChar w:fldCharType="begin"/>
      </w:r>
      <w:r>
        <w:instrText xml:space="preserve"> PAGEREF _Toc27477 \h </w:instrText>
      </w:r>
      <w:r>
        <w:fldChar w:fldCharType="separate"/>
      </w:r>
      <w:r>
        <w:t>53</w:t>
      </w:r>
      <w:r>
        <w:fldChar w:fldCharType="end"/>
      </w:r>
      <w:r>
        <w:fldChar w:fldCharType="end"/>
      </w:r>
    </w:p>
    <w:p w14:paraId="728B4D02">
      <w:pPr>
        <w:pStyle w:val="17"/>
        <w:tabs>
          <w:tab w:val="right" w:leader="dot" w:pos="8306"/>
        </w:tabs>
      </w:pPr>
      <w:r>
        <w:fldChar w:fldCharType="begin"/>
      </w:r>
      <w:r>
        <w:instrText xml:space="preserve"> HYPERLINK \l _Toc14772 </w:instrText>
      </w:r>
      <w:r>
        <w:fldChar w:fldCharType="separate"/>
      </w:r>
      <w:r>
        <w:t>B.6 模型与运行记录</w:t>
      </w:r>
      <w:r>
        <w:tab/>
      </w:r>
      <w:r>
        <w:fldChar w:fldCharType="begin"/>
      </w:r>
      <w:r>
        <w:instrText xml:space="preserve"> PAGEREF _Toc14772 \h </w:instrText>
      </w:r>
      <w:r>
        <w:fldChar w:fldCharType="separate"/>
      </w:r>
      <w:r>
        <w:t>54</w:t>
      </w:r>
      <w:r>
        <w:fldChar w:fldCharType="end"/>
      </w:r>
      <w:r>
        <w:fldChar w:fldCharType="end"/>
      </w:r>
    </w:p>
    <w:p w14:paraId="0A35EC71">
      <w:pPr>
        <w:pStyle w:val="15"/>
        <w:tabs>
          <w:tab w:val="right" w:leader="dot" w:pos="8306"/>
        </w:tabs>
      </w:pPr>
      <w:r>
        <w:fldChar w:fldCharType="begin"/>
      </w:r>
      <w:r>
        <w:instrText xml:space="preserve"> HYPERLINK \l _Toc7362 </w:instrText>
      </w:r>
      <w:r>
        <w:fldChar w:fldCharType="separate"/>
      </w:r>
      <w:r>
        <w:t>附录C 典型案例输出（基线运行关键环节摘录）</w:t>
      </w:r>
      <w:r>
        <w:tab/>
      </w:r>
      <w:r>
        <w:fldChar w:fldCharType="begin"/>
      </w:r>
      <w:r>
        <w:instrText xml:space="preserve"> PAGEREF _Toc7362 \h </w:instrText>
      </w:r>
      <w:r>
        <w:fldChar w:fldCharType="separate"/>
      </w:r>
      <w:r>
        <w:t>56</w:t>
      </w:r>
      <w:r>
        <w:fldChar w:fldCharType="end"/>
      </w:r>
      <w:r>
        <w:fldChar w:fldCharType="end"/>
      </w:r>
    </w:p>
    <w:p w14:paraId="033E7D40">
      <w:pPr>
        <w:pStyle w:val="15"/>
        <w:tabs>
          <w:tab w:val="right" w:leader="dot" w:pos="8306"/>
        </w:tabs>
      </w:pPr>
      <w:r>
        <w:fldChar w:fldCharType="begin"/>
      </w:r>
      <w:r>
        <w:instrText xml:space="preserve"> HYPERLINK \l _Toc15241 </w:instrText>
      </w:r>
      <w:r>
        <w:fldChar w:fldCharType="separate"/>
      </w:r>
      <w:r>
        <w:t>附录D 评价指标定义</w:t>
      </w:r>
      <w:r>
        <w:tab/>
      </w:r>
      <w:r>
        <w:fldChar w:fldCharType="begin"/>
      </w:r>
      <w:r>
        <w:instrText xml:space="preserve"> PAGEREF _Toc15241 \h </w:instrText>
      </w:r>
      <w:r>
        <w:fldChar w:fldCharType="separate"/>
      </w:r>
      <w:r>
        <w:t>58</w:t>
      </w:r>
      <w:r>
        <w:fldChar w:fldCharType="end"/>
      </w:r>
      <w:r>
        <w:fldChar w:fldCharType="end"/>
      </w:r>
    </w:p>
    <w:p w14:paraId="619F98F7">
      <w:pPr>
        <w:pStyle w:val="15"/>
        <w:tabs>
          <w:tab w:val="right" w:leader="dot" w:pos="8306"/>
        </w:tabs>
      </w:pPr>
      <w:r>
        <w:fldChar w:fldCharType="begin"/>
      </w:r>
      <w:r>
        <w:instrText xml:space="preserve"> HYPERLINK \l _Toc12302 </w:instrText>
      </w:r>
      <w:r>
        <w:fldChar w:fldCharType="separate"/>
      </w:r>
      <w:r>
        <w:t>附录E 基线运行交付物：自主研究论文原文</w:t>
      </w:r>
      <w:r>
        <w:tab/>
      </w:r>
      <w:r>
        <w:fldChar w:fldCharType="begin"/>
      </w:r>
      <w:r>
        <w:instrText xml:space="preserve"> PAGEREF _Toc12302 \h </w:instrText>
      </w:r>
      <w:r>
        <w:fldChar w:fldCharType="separate"/>
      </w:r>
      <w:r>
        <w:t>59</w:t>
      </w:r>
      <w:r>
        <w:fldChar w:fldCharType="end"/>
      </w:r>
      <w:r>
        <w:fldChar w:fldCharType="end"/>
      </w:r>
    </w:p>
    <w:p w14:paraId="330E27A8">
      <w:pPr>
        <w:pStyle w:val="15"/>
        <w:tabs>
          <w:tab w:val="right" w:leader="dot" w:pos="8306"/>
        </w:tabs>
      </w:pPr>
      <w:r>
        <w:fldChar w:fldCharType="begin"/>
      </w:r>
      <w:r>
        <w:instrText xml:space="preserve"> HYPERLINK \l _Toc9700 </w:instrText>
      </w:r>
      <w:r>
        <w:fldChar w:fldCharType="separate"/>
      </w:r>
      <w:r>
        <w:t>附录F 基线运行交付物：汇报幻灯片选页</w:t>
      </w:r>
      <w:r>
        <w:tab/>
      </w:r>
      <w:r>
        <w:fldChar w:fldCharType="begin"/>
      </w:r>
      <w:r>
        <w:instrText xml:space="preserve"> PAGEREF _Toc9700 \h </w:instrText>
      </w:r>
      <w:r>
        <w:fldChar w:fldCharType="separate"/>
      </w:r>
      <w:r>
        <w:t>66</w:t>
      </w:r>
      <w:r>
        <w:fldChar w:fldCharType="end"/>
      </w:r>
      <w:r>
        <w:fldChar w:fldCharType="end"/>
      </w:r>
    </w:p>
    <w:p w14:paraId="703AB22C">
      <w:pPr>
        <w:pStyle w:val="15"/>
        <w:tabs>
          <w:tab w:val="right" w:leader="dot" w:pos="8306"/>
        </w:tabs>
      </w:pPr>
      <w:r>
        <w:fldChar w:fldCharType="begin"/>
      </w:r>
      <w:r>
        <w:instrText xml:space="preserve"> HYPERLINK \l _Toc14432 </w:instrText>
      </w:r>
      <w:r>
        <w:fldChar w:fldCharType="separate"/>
      </w:r>
      <w:r>
        <w:t>参考文献</w:t>
      </w:r>
      <w:r>
        <w:tab/>
      </w:r>
      <w:r>
        <w:fldChar w:fldCharType="begin"/>
      </w:r>
      <w:r>
        <w:instrText xml:space="preserve"> PAGEREF _Toc14432 \h </w:instrText>
      </w:r>
      <w:r>
        <w:fldChar w:fldCharType="separate"/>
      </w:r>
      <w:r>
        <w:t>69</w:t>
      </w:r>
      <w:r>
        <w:fldChar w:fldCharType="end"/>
      </w:r>
      <w:r>
        <w:fldChar w:fldCharType="end"/>
      </w:r>
    </w:p>
    <w:p w14:paraId="46743851">
      <w:pPr>
        <w:pStyle w:val="15"/>
      </w:pPr>
      <w:r>
        <w:fldChar w:fldCharType="end"/>
      </w:r>
    </w:p>
    <w:p w14:paraId="15856EC0">
      <w:pPr>
        <w:sectPr>
          <w:pgSz w:w="11906" w:h="16838"/>
          <w:pgMar w:top="1440" w:right="1800" w:bottom="1440" w:left="1800" w:header="851" w:footer="992" w:gutter="0"/>
          <w:pgNumType w:start="0"/>
          <w:cols w:space="425" w:num="1"/>
          <w:titlePg/>
          <w:docGrid w:type="lines" w:linePitch="381" w:charSpace="0"/>
        </w:sectPr>
      </w:pPr>
    </w:p>
    <w:p w14:paraId="496B9626">
      <w:pPr>
        <w:pStyle w:val="2"/>
      </w:pPr>
      <w:bookmarkStart w:id="0" w:name="_Toc7695"/>
      <w:r>
        <w:t>摘要</w:t>
      </w:r>
      <w:bookmarkEnd w:id="0"/>
    </w:p>
    <w:p w14:paraId="51EE4445">
      <w:pPr>
        <w:spacing w:line="480" w:lineRule="exact"/>
        <w:ind w:firstLine="560" w:firstLineChars="200"/>
      </w:pPr>
      <w:r>
        <w:t>本项目面向"AI+力学"主题，构建并系统验证了闭环自主科研智能体 GranuSci：给定一句研究意图，智能体自主完成文献调研、实验设计、批量离散元仿真、规律提炼、机制调查、论文撰写与幻灯片生成的完整链条。系统将语义层与计算层分离：大语言模型承担研究决策与学术表达，批量仿真与规律拟合两项核心数值计算由离散元与数据驱动量纲分析（DDDA）两个模型上下文协议（MCP）工具服务执行、派生计算由全程留痕的本地工具完成，独立审稿门以数值审计（报告数值逐个溯源到工具记录）、视觉图审计与异源大模型评审三层机制把关产出。以竖直振动颗粒床的能量标度问题为验证任务，智能体自主完成两轮自适应采样（516 个唯一参数点），发现动能的两子域纯幂律标度结构（全局误差 21.1%，优于不分区的 23.5%，两者分母分别为 384 与 465 个有效点），以快照与时均场诊断的互补证据给出"子域边界对应能量注入机制转变"的机制解释，并以第一轮冻结模型完成六点域内离网格留出验证（平均绝对百分比误差 16.5%）；同时发现势能无法用统一简单律描述，这一与动能的对照本身构成发现。论文经一轮审稿驳回、退回修订并补充实验后通过二轮审稿，全部 30 个报告小数可溯源到工具记录。受控消融实验（同一意图、同一种子、同一预算，每配置单次运行）进一步量化各模块贡献：审稿门、文献检索、知识供给与基座模型在过程指标与产出盲评中呈现各有侧重的维度特征；知识供给归零（移除目标文献并禁用在线检索）的配置仍能做出解析形式紧致的发现、</w:t>
      </w:r>
      <w:r>
        <w:rPr>
          <w:rFonts w:hint="eastAsia"/>
          <w:lang w:val="en-US" w:eastAsia="zh-CN"/>
        </w:rPr>
        <w:t>但在结论的物理解释以及论文撰写</w:t>
      </w:r>
      <w:r>
        <w:t>规范</w:t>
      </w:r>
      <w:r>
        <w:rPr>
          <w:rFonts w:hint="eastAsia"/>
          <w:lang w:val="en-US" w:eastAsia="zh-CN"/>
        </w:rPr>
        <w:t>性方面存在显著欠缺</w:t>
      </w:r>
      <w:r>
        <w:t>；全量配置是唯一同时取得最高盲评分、通过审稿且交付完备的配置。离散元仿真与规律发现两个 MCP 工具服务、方法论技能与应用原型注册于磐石·科研智能平台并已作为参赛资源提交，可供平台用户在权限规则下复用。当前验证基于快速仿真方案与单一干颗粒体系。</w:t>
      </w:r>
    </w:p>
    <w:p w14:paraId="4E8522C3">
      <w:pPr>
        <w:pStyle w:val="2"/>
      </w:pPr>
      <w:bookmarkStart w:id="1" w:name="_Toc20483"/>
      <w:r>
        <w:t>1. 引言</w:t>
      </w:r>
      <w:bookmarkEnd w:id="1"/>
    </w:p>
    <w:p w14:paraId="71F71CCC">
      <w:pPr>
        <w:spacing w:line="480" w:lineRule="exact"/>
        <w:ind w:firstLine="560" w:firstLineChars="200"/>
      </w:pPr>
      <w:r>
        <w:t>科学研究是一条环节紧密衔接的长链：从问题提出、文献调研、实验设计、计算验证，到规律提炼、机制解释与论文撰写，每一环节至今仍主要依赖研究者的经验与大量重复性劳动。若这条链条能够端到端地自动化，研究者的角色便可集中于提出问题与审视结果，科研门槛与周期都将大幅压缩。实现这一愿景并不容易：它既需要一个足够复杂、结果又可对照验证的研究对象，也需要一种能让语言模型的智能与数值计算的可信性共存的智能体架构。本项目的出发点正在于此：以振动颗粒体系的规律发现为对象，构建端到端的自主科研智能体，并以真实运行、消融实验与失败案例系统考察其正确性、自主性与科学生产力。</w:t>
      </w:r>
    </w:p>
    <w:p w14:paraId="46BEAC26">
      <w:pPr>
        <w:pStyle w:val="3"/>
      </w:pPr>
      <w:bookmarkStart w:id="2" w:name="_Toc11269"/>
      <w:r>
        <w:t>1.1 自主科研智能体与 AI for Science</w:t>
      </w:r>
      <w:bookmarkEnd w:id="2"/>
    </w:p>
    <w:p w14:paraId="6F9D45D5">
      <w:pPr>
        <w:spacing w:line="480" w:lineRule="exact"/>
        <w:ind w:firstLine="560" w:firstLineChars="200"/>
      </w:pPr>
      <w:r>
        <w:t>科学研究正经历从经验驱动向数据驱动的范式转变。随着深度学习方法的迅速发展，从海量数据中提取隐含模式与物理规律成为可能，为加速科学发现提供了新的工具。Wang 等在 Nature 上系统阐述了 AI for Science 范式，指出人工智能可深度介入从文献阅读、假设生成、实验设计到数据解释的科研全链条</w:t>
      </w:r>
      <w:r>
        <w:rPr>
          <w:sz w:val="18"/>
          <w:szCs w:val="18"/>
          <w:vertAlign w:val="superscript"/>
        </w:rPr>
        <w:t>[1]</w:t>
      </w:r>
      <w:r>
        <w:t>；Kitano 进一步提出"科学发现引擎"的构想，期望构建能够自主提出假设、设计实验并验证猜想的智能系统</w:t>
      </w:r>
      <w:r>
        <w:rPr>
          <w:sz w:val="18"/>
          <w:szCs w:val="18"/>
          <w:vertAlign w:val="superscript"/>
        </w:rPr>
        <w:t>[29]</w:t>
      </w:r>
      <w:r>
        <w:t>。</w:t>
      </w:r>
    </w:p>
    <w:p w14:paraId="671DB6F3">
      <w:pPr>
        <w:spacing w:line="480" w:lineRule="exact"/>
        <w:ind w:firstLine="560" w:firstLineChars="200"/>
      </w:pPr>
      <w:r>
        <w:t>人工智能已在多个学科展现出解决复杂科学问题的能力。AlphaFold 实现了蛋白质三维结构的高精度预测，解决了结构生物学悬置半个世纪的难题</w:t>
      </w:r>
      <w:r>
        <w:rPr>
          <w:sz w:val="18"/>
          <w:szCs w:val="18"/>
          <w:vertAlign w:val="superscript"/>
        </w:rPr>
        <w:t>[2]</w:t>
      </w:r>
      <w:r>
        <w:t>；移动机器人化学家可自主完成从实验设计、执行到结果分析的闭环</w:t>
      </w:r>
      <w:r>
        <w:rPr>
          <w:sz w:val="18"/>
          <w:szCs w:val="18"/>
          <w:vertAlign w:val="superscript"/>
        </w:rPr>
        <w:t>[3]</w:t>
      </w:r>
      <w:r>
        <w:t>；Schmidt 和 Lipson 借助符号回归从实验数据中自动蒸馏出哈密顿量、拉格朗日量等自然规律</w:t>
      </w:r>
      <w:r>
        <w:rPr>
          <w:sz w:val="18"/>
          <w:szCs w:val="18"/>
          <w:vertAlign w:val="superscript"/>
        </w:rPr>
        <w:t>[4]</w:t>
      </w:r>
      <w:r>
        <w:t>。在工具使用与智能体理论方面，ReAct 与 Toolformer 等工作表明，语言模型可以通过"推理—行动"交替或自监督工具调用获得可靠的执行能力</w:t>
      </w:r>
      <w:r>
        <w:rPr>
          <w:sz w:val="18"/>
          <w:szCs w:val="18"/>
          <w:vertAlign w:val="superscript"/>
        </w:rPr>
        <w:t>[27,28]</w:t>
      </w:r>
      <w:r>
        <w:t>；在评测侧，MLAgentBench 等基准开始考察语言智能体在标准化任务环境中的实验能力</w:t>
      </w:r>
      <w:r>
        <w:rPr>
          <w:sz w:val="18"/>
          <w:szCs w:val="18"/>
          <w:vertAlign w:val="superscript"/>
        </w:rPr>
        <w:t>[25]</w:t>
      </w:r>
      <w:r>
        <w:t>；智能体综述将大语言模型智能体视为感知、规划与行动的统一体</w:t>
      </w:r>
      <w:r>
        <w:rPr>
          <w:sz w:val="18"/>
          <w:szCs w:val="18"/>
          <w:vertAlign w:val="superscript"/>
        </w:rPr>
        <w:t>[26]</w:t>
      </w:r>
      <w:r>
        <w:t>。近两年，研究进一步从"工具辅助"走向"闭环自主"：AI Scientist 系统尝试全自动完成想法生成、实验执行与论文撰写的研究循环</w:t>
      </w:r>
      <w:r>
        <w:rPr>
          <w:sz w:val="18"/>
          <w:szCs w:val="18"/>
          <w:vertAlign w:val="superscript"/>
        </w:rPr>
        <w:t>[22]</w:t>
      </w:r>
      <w:r>
        <w:t>；Coscientist 将大语言模型接入真实化学实验平台，自主完成催化反应的条件寻优</w:t>
      </w:r>
      <w:r>
        <w:rPr>
          <w:sz w:val="18"/>
          <w:szCs w:val="18"/>
          <w:vertAlign w:val="superscript"/>
        </w:rPr>
        <w:t>[24]</w:t>
      </w:r>
      <w:r>
        <w:t>；ChemCrow 通过工具增强使通用语言模型获得化学领域的专业执行能力</w:t>
      </w:r>
      <w:r>
        <w:rPr>
          <w:sz w:val="18"/>
          <w:szCs w:val="18"/>
          <w:vertAlign w:val="superscript"/>
        </w:rPr>
        <w:t>[23]</w:t>
      </w:r>
      <w:r>
        <w:t>。这些工作表明，让智能体成为科研流程的主体在原理上已经可行。</w:t>
      </w:r>
    </w:p>
    <w:p w14:paraId="6E8A7EDC">
      <w:pPr>
        <w:spacing w:line="480" w:lineRule="exact"/>
        <w:ind w:firstLine="560" w:firstLineChars="200"/>
      </w:pPr>
      <w:r>
        <w:t>然而，现有自主科研系统的验证场景大多集中于实验科学或轻量计算任务。对于依赖大规模数值仿真的力学问题，研究链路横跨实验设计、超算级批量计算、数据后处理与方法学分析，单次研究耗时以小时计、涉及工具数十个，目前尚缺乏可运行、可验证的闭环方案。已有系统公开报告的失败案例也提示，长程任务中的可信性问题——实现缺陷穿过自我审查、无出处的数值、图文与计数矛盾——必须在架构层面而非提示词层面解决</w:t>
      </w:r>
      <w:r>
        <w:rPr>
          <w:sz w:val="18"/>
          <w:szCs w:val="18"/>
          <w:vertAlign w:val="superscript"/>
        </w:rPr>
        <w:t>[22]</w:t>
      </w:r>
      <w:r>
        <w:t>。这是本文工作的切入点。</w:t>
      </w:r>
    </w:p>
    <w:p w14:paraId="56A2552B">
      <w:pPr>
        <w:pStyle w:val="3"/>
      </w:pPr>
      <w:bookmarkStart w:id="3" w:name="_Toc32340"/>
      <w:r>
        <w:t>1.2 复杂仿真系统中的规律发现难题</w:t>
      </w:r>
      <w:bookmarkEnd w:id="3"/>
    </w:p>
    <w:p w14:paraId="2AC51D5D">
      <w:pPr>
        <w:spacing w:line="480" w:lineRule="exact"/>
        <w:ind w:firstLine="560" w:firstLineChars="200"/>
      </w:pPr>
      <w:r>
        <w:t>将大语言模型用于上述流程的闭环自动化，面临三个结构性难题。</w:t>
      </w:r>
    </w:p>
    <w:p w14:paraId="47D1A9A1">
      <w:pPr>
        <w:spacing w:line="480" w:lineRule="exact"/>
        <w:ind w:firstLine="560" w:firstLineChars="200"/>
      </w:pPr>
      <w:r>
        <w:t>（1）计算落地性。语言模型的输出是文本而非计算，科学结论必须建立在真实计算与观测数据之上，未经实际计算的"规律"只是流畅的虚构。工具调用范式为此提供了路径，但科研场景中的工具不是轻量级的知识检索，而是重型计算：批量离散元仿真以小时计，数据分析流程跨越多套算法组件，对接口设计、调用契约与状态管理提出了远高于常规智能体的要求。工具结果动辄数万字符，直接灌入上下文会迅速耗尽窗口，而截断又会丢失关键数值——工具与模型之间的信息通道本身就是一个需要设计的对象。</w:t>
      </w:r>
    </w:p>
    <w:p w14:paraId="1C6534EF">
      <w:pPr>
        <w:spacing w:line="480" w:lineRule="exact"/>
        <w:ind w:firstLine="560" w:firstLineChars="200"/>
      </w:pPr>
      <w:r>
        <w:t>（2）长程编排。完整的科研流程涵盖问题理解、实验设计、批量计算、数据分析、机制调查与成果撰写多个阶段，时间跨度长、工具异构、中间产物繁多。完全固定的脚本丧失了响应研究意图的灵活性——相态边界在哪里、哪个方向需要加密采样、异常现象要不要追查，这些决策依赖对中间结果的科学判断；而完全自由的智能体循环在小时级任务中容易偏离目标、重复调用、在中间环节产生幻觉。如何在确定性与自主性之间取得平衡，是编排层的核心设计问题。</w:t>
      </w:r>
    </w:p>
    <w:p w14:paraId="14EFA936">
      <w:pPr>
        <w:spacing w:line="480" w:lineRule="exact"/>
        <w:ind w:firstLine="560" w:firstLineChars="200"/>
      </w:pPr>
      <w:r>
        <w:t>（3）结果的可验证性。研究报告中的每一个数值都必须可溯源到原始计算，可复核、可复现。这是科研的底线要求，也恰是生成式模型最薄弱的能力：模型会以高精度口吻写出从未出现在任何工具返回中的数字，会在摘要与正文之间留下计数矛盾，会让图注声称的数据点数与图上实际绘制的数量不符。若不能从架构上保证数字来自计算而非生成，智能体的产出便无法进入严肃的科学交流。</w:t>
      </w:r>
    </w:p>
    <w:p w14:paraId="76C501E0">
      <w:pPr>
        <w:spacing w:line="480" w:lineRule="exact"/>
        <w:ind w:firstLine="560" w:firstLineChars="200"/>
      </w:pPr>
      <w:r>
        <w:t>数据驱动的规律发现文献（符号回归、无量纲学习等</w:t>
      </w:r>
      <w:r>
        <w:rPr>
          <w:sz w:val="18"/>
          <w:szCs w:val="18"/>
          <w:vertAlign w:val="superscript"/>
        </w:rPr>
        <w:t>[7-9]</w:t>
      </w:r>
      <w:r>
        <w:t>）为从这类数据中提炼公式提供了方法参照，但多预设全域单一函数形式。与本文最接近的直接相关工作是文献</w:t>
      </w:r>
      <w:r>
        <w:rPr>
          <w:sz w:val="18"/>
          <w:szCs w:val="18"/>
          <w:vertAlign w:val="superscript"/>
        </w:rPr>
        <w:t>[10]</w:t>
      </w:r>
      <w:r>
        <w:t>的多物理区制聚类无量纲学习——它与本文采用的分区数据驱动量纲分析</w:t>
      </w:r>
      <w:r>
        <w:rPr>
          <w:sz w:val="18"/>
          <w:szCs w:val="18"/>
          <w:vertAlign w:val="superscript"/>
        </w:rPr>
        <w:t>[11,12]</w:t>
      </w:r>
      <w:r>
        <w:t>同样以分区结构的规律发现为目标；本文方法沿文献</w:t>
      </w:r>
      <w:r>
        <w:rPr>
          <w:sz w:val="18"/>
          <w:szCs w:val="18"/>
          <w:vertAlign w:val="superscript"/>
        </w:rPr>
        <w:t>[11,12]</w:t>
      </w:r>
      <w:r>
        <w:t>的移植实现与协议（以减法聚类与模糊聚类在光滑偏导数场上分区、逐子域拟合纯幂律，见 2.7 节），未与文献</w:t>
      </w:r>
      <w:r>
        <w:rPr>
          <w:sz w:val="18"/>
          <w:szCs w:val="18"/>
          <w:vertAlign w:val="superscript"/>
        </w:rPr>
        <w:t>[10]</w:t>
      </w:r>
      <w:r>
        <w:t>的方法做定量交叉比较，留作展望。本项目的增量不在分区算法本身，而在让智能体自主执行"设计—仿真—分区—拟合—解读—成文"的全过程，并对各环节的贡献作定量评估。与此同时，振动颗粒体系的研究本身存在领域难题：动力学规律随参数空间分区变化，全局单一拟合会抹平相态结构；人工完成一次"设计—仿真—分区—拟合—解读"循环需要五种技术栈与以天计的工程时间。两类难题叠加，构成了本项目的立项依据。</w:t>
      </w:r>
    </w:p>
    <w:p w14:paraId="565E6103">
      <w:pPr>
        <w:pStyle w:val="3"/>
      </w:pPr>
      <w:bookmarkStart w:id="4" w:name="_Toc24727"/>
      <w:r>
        <w:t>1.3 颗粒流问题作为验证场景的动机</w:t>
      </w:r>
      <w:bookmarkEnd w:id="4"/>
    </w:p>
    <w:p w14:paraId="45E5C72B">
      <w:pPr>
        <w:spacing w:line="480" w:lineRule="exact"/>
        <w:ind w:firstLine="560" w:firstLineChars="200"/>
      </w:pPr>
      <w:r>
        <w:t>验证一个自主科研智能体，需要一个既有足够难度、又有可对照答案的问题。稠密颗粒流动恰好满足这一要求。颗粒介质由大量离散颗粒组成，其流变特性与动力学行为在自然界和工业领域普遍存在，曾与湍流并列为 Science 杂志提出的本世纪重大科学难题</w:t>
      </w:r>
      <w:r>
        <w:rPr>
          <w:sz w:val="18"/>
          <w:szCs w:val="18"/>
          <w:vertAlign w:val="superscript"/>
        </w:rPr>
        <w:t>[13]</w:t>
      </w:r>
      <w:r>
        <w:t>：工业生产中的粉末冶金、制药、流化床等过程均与颗粒流动行为密切相关</w:t>
      </w:r>
      <w:r>
        <w:rPr>
          <w:sz w:val="18"/>
          <w:szCs w:val="18"/>
          <w:vertAlign w:val="superscript"/>
        </w:rPr>
        <w:t>[14-16]</w:t>
      </w:r>
      <w:r>
        <w:t>；泥石流、雪崩等高危地质现象的防治也依赖于颗粒流动力学研究</w:t>
      </w:r>
      <w:r>
        <w:rPr>
          <w:sz w:val="18"/>
          <w:szCs w:val="18"/>
          <w:vertAlign w:val="superscript"/>
        </w:rPr>
        <w:t>[17-19]</w:t>
      </w:r>
      <w:r>
        <w:t>；颗粒介质介于静态固体与连续流体之间，为非平衡态物理与复杂系统研究提供了理想对象</w:t>
      </w:r>
      <w:r>
        <w:rPr>
          <w:sz w:val="18"/>
          <w:szCs w:val="18"/>
          <w:vertAlign w:val="superscript"/>
        </w:rPr>
        <w:t>[20,21]</w:t>
      </w:r>
      <w:r>
        <w:t>。</w:t>
      </w:r>
    </w:p>
    <w:p w14:paraId="46029359">
      <w:pPr>
        <w:spacing w:line="480" w:lineRule="exact"/>
        <w:ind w:firstLine="560" w:firstLineChars="200"/>
      </w:pPr>
      <w:r>
        <w:t>具体到竖直振动颗粒床：振动较弱时颗粒床作为整体随容器弹跳（紧致弹跳态）；振动较强时床层底部出现类气层、颗粒与底板解耦（"Leidenfrost" 态，借液滴 Leidenfrost 效应命名）</w:t>
      </w:r>
      <w:r>
        <w:rPr>
          <w:sz w:val="18"/>
          <w:szCs w:val="18"/>
          <w:vertAlign w:val="superscript"/>
        </w:rPr>
        <w:t>[36]</w:t>
      </w:r>
      <w:r>
        <w:t xml:space="preserve">；两者之间为宽阔的过渡区。不同相态下，体系平均动能、质心高度等响应量对无量纲振幅 </w:t>
      </w:r>
      <m:oMath>
        <m:r>
          <m:rPr/>
          <w:rPr>
            <w:sz w:val="24"/>
            <w:szCs w:val="24"/>
          </w:rPr>
          <m:t>a/d</m:t>
        </m:r>
      </m:oMath>
      <w:r>
        <w:t xml:space="preserve">（振幅与粒径之比）、振动强度 </w:t>
      </w:r>
      <m:oMath>
        <m:r>
          <m:rPr/>
          <w:rPr>
            <w:sz w:val="24"/>
            <w:szCs w:val="24"/>
          </w:rPr>
          <m:t>Γ</m:t>
        </m:r>
      </m:oMath>
      <w:r>
        <w:t xml:space="preserve">（底板最大加速度与重力加速度之比）、颗粒层数 </w:t>
      </w:r>
      <m:oMath>
        <m:r>
          <m:rPr/>
          <w:rPr>
            <w:sz w:val="24"/>
            <w:szCs w:val="24"/>
          </w:rPr>
          <m:t>F</m:t>
        </m:r>
      </m:oMath>
      <w:r>
        <w:t xml:space="preserve"> 的依赖关系遵循不同的幂律标度律（相态与标度律的完整定义见 2.5 节）。这意味着研究者面对的不是"一个规律"，而是"参数空间中若干个规律及其边界"。该问题既有足够的方法论深度，又存在可与人工研究结果直接对照的定量答案，是检验自主科研智能体的合适范例。</w:t>
      </w:r>
    </w:p>
    <w:p w14:paraId="4D7B4B50">
      <w:pPr>
        <w:pStyle w:val="3"/>
      </w:pPr>
      <w:bookmarkStart w:id="5" w:name="_Toc18861"/>
      <w:r>
        <w:t>1.4 本文工作与主要贡献</w:t>
      </w:r>
      <w:bookmarkEnd w:id="5"/>
    </w:p>
    <w:p w14:paraId="591987A7">
      <w:pPr>
        <w:spacing w:line="480" w:lineRule="exact"/>
        <w:ind w:firstLine="560" w:firstLineChars="200"/>
      </w:pPr>
      <w:r>
        <w:t>本文构建了面向分区标度律问题的自主科研智能体 GranuSci，并在真实科研任务上完成端到端验证。系统采用"大语言模型语义层—MCP 计算层"分离的架构：语义层是一个自主多轮工具调用循环，承担研究决策、实验设计与学术表达；计算层是离散元批量仿真与数据驱动量纲分析两个 MCP 工具服务，承担仿真与规律拟合两项核心数值计算（换算、平均、成对比较等派生计算由全程留痕的本地工具执行）；知识供给由向量知识库（领域综述与文献全文）与文献检索服务承担；产出质量由独立审稿门把关。本文的主要贡献如下：</w:t>
      </w:r>
    </w:p>
    <w:p w14:paraId="4A211D10">
      <w:pPr>
        <w:spacing w:line="480" w:lineRule="exact"/>
        <w:ind w:firstLine="560" w:firstLineChars="200"/>
      </w:pPr>
      <w:r>
        <w:t>（1）</w:t>
      </w:r>
      <w:r>
        <w:rPr>
          <w:b/>
        </w:rPr>
        <w:t>可查证的自主科研闭环</w:t>
      </w:r>
      <w:r>
        <w:t>。智能体从一句研究意图出发，自主完成文献调研与缺口挖掘、研究计划制定、无量纲实验设计、405 工况主网格加 105 工况边界加密与 6 个独立留出点的两轮自适应采样、516 个唯一数据点的合并分析、标度律发现、快照与时均场的机制调查，直至产出通过内部审稿的 6 页 REVTeX 论文与 15 页汇报幻灯片，全程无人工干预，每个数值可溯源到产出它的工具记录。</w:t>
      </w:r>
    </w:p>
    <w:p w14:paraId="7682A390">
      <w:pPr>
        <w:spacing w:line="480" w:lineRule="exact"/>
        <w:ind w:firstLine="560" w:firstLineChars="200"/>
      </w:pPr>
      <w:r>
        <w:t>（2）</w:t>
      </w:r>
      <w:r>
        <w:rPr>
          <w:b/>
        </w:rPr>
        <w:t>面向科研可信性的机制组合</w:t>
      </w:r>
      <w:r>
        <w:t>。数值审计（报告小数逐个比对工具记录，无出处即拒收）、审稿失败退回路由（数据缺失类问题退回实验补测而非文本修饰）、异源大模型审稿（审稿模型与研究模型不同源，避免自我偏好）、账本式的关键发现记账与失败教训自反思，共同构成对 AI 科研已知失败模式的架构级防线；负结果案例分析（4.6 节）表明该防线确实拦截了真实的数值编造与计数矛盾。</w:t>
      </w:r>
    </w:p>
    <w:p w14:paraId="02024A03">
      <w:pPr>
        <w:spacing w:line="480" w:lineRule="exact"/>
        <w:ind w:firstLine="560" w:firstLineChars="200"/>
      </w:pPr>
      <w:r>
        <w:t>（3）</w:t>
      </w:r>
      <w:r>
        <w:rPr>
          <w:b/>
        </w:rPr>
        <w:t>量化的模块贡献评估</w:t>
      </w:r>
      <w:r>
        <w:t>。以同一科学问题、同一种子、同一预算的受控消融，量化了文献检索模块、审稿门、机制调查引导、知识库内容与基座模型对研究产出质量的影响（第 5 章），为同类系统的设计提供依据。</w:t>
      </w:r>
    </w:p>
    <w:p w14:paraId="5BCE3C0A">
      <w:pPr>
        <w:spacing w:line="480" w:lineRule="exact"/>
        <w:ind w:firstLine="560" w:firstLineChars="200"/>
      </w:pPr>
      <w:r>
        <w:t>（4）</w:t>
      </w:r>
      <w:r>
        <w:rPr>
          <w:b/>
        </w:rPr>
        <w:t>可复用的平台生态贡献</w:t>
      </w:r>
      <w:r>
        <w:t>。离散元批量仿真与数据驱动量纲分析两个工具服务以 MCP 协议注册于磐石·科研智能平台，并与方法论技能、项目技术文档技能及智能体一并作为参赛资源提交（平台资源标识见表 6.1），平台用户可在平台权限规则下于其智能体与工作流中调用；工作流版应用原型在平台上完成端到端验证（第 6 章），DDDA 方法论完成从 MATLAB 到纯 Python 的工程化移植与精度对齐。</w:t>
      </w:r>
    </w:p>
    <w:p w14:paraId="315B0171">
      <w:pPr>
        <w:spacing w:line="480" w:lineRule="exact"/>
        <w:ind w:firstLine="560" w:firstLineChars="200"/>
      </w:pPr>
      <w:r>
        <w:t>为厘清创新边界，表 1.1 将项目内容分为三类：沿用的方法与软件、项目新增的工程机制、项目新得到且经验证的科学结论。</w:t>
      </w:r>
    </w:p>
    <w:p w14:paraId="1D405F44">
      <w:pPr>
        <w:pStyle w:val="11"/>
        <w:keepNext/>
        <w:jc w:val="center"/>
      </w:pPr>
      <w:r>
        <w:t>表 1.1 贡献分类：沿用的、新增的与新得到的</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69"/>
        <w:gridCol w:w="3205"/>
        <w:gridCol w:w="3204"/>
      </w:tblGrid>
      <w:tr w14:paraId="2D0A6D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869" w:type="dxa"/>
            <w:tcBorders>
              <w:bottom w:val="single" w:color="auto" w:sz="4" w:space="0"/>
            </w:tcBorders>
            <w:vAlign w:val="center"/>
          </w:tcPr>
          <w:p w14:paraId="3026EE09">
            <w:pPr>
              <w:spacing w:line="480" w:lineRule="atLeast"/>
              <w:jc w:val="center"/>
            </w:pPr>
            <w:r>
              <w:rPr>
                <w:b/>
                <w:sz w:val="21"/>
                <w:szCs w:val="21"/>
              </w:rPr>
              <w:t>类别</w:t>
            </w:r>
          </w:p>
        </w:tc>
        <w:tc>
          <w:tcPr>
            <w:tcW w:w="3205" w:type="dxa"/>
            <w:tcBorders>
              <w:bottom w:val="single" w:color="auto" w:sz="4" w:space="0"/>
            </w:tcBorders>
            <w:vAlign w:val="center"/>
          </w:tcPr>
          <w:p w14:paraId="59049FC6">
            <w:pPr>
              <w:spacing w:line="480" w:lineRule="atLeast"/>
              <w:jc w:val="center"/>
            </w:pPr>
            <w:r>
              <w:rPr>
                <w:b/>
                <w:sz w:val="21"/>
                <w:szCs w:val="21"/>
              </w:rPr>
              <w:t>内容</w:t>
            </w:r>
          </w:p>
        </w:tc>
        <w:tc>
          <w:tcPr>
            <w:tcW w:w="3204" w:type="dxa"/>
            <w:tcBorders>
              <w:bottom w:val="single" w:color="auto" w:sz="4" w:space="0"/>
            </w:tcBorders>
            <w:vAlign w:val="center"/>
          </w:tcPr>
          <w:p w14:paraId="27C043EF">
            <w:pPr>
              <w:spacing w:line="480" w:lineRule="atLeast"/>
              <w:jc w:val="center"/>
            </w:pPr>
            <w:r>
              <w:rPr>
                <w:b/>
                <w:sz w:val="21"/>
                <w:szCs w:val="21"/>
              </w:rPr>
              <w:t>出处与验证</w:t>
            </w:r>
          </w:p>
        </w:tc>
      </w:tr>
      <w:tr w14:paraId="202A66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69" w:type="dxa"/>
            <w:tcBorders>
              <w:top w:val="single" w:color="auto" w:sz="4" w:space="0"/>
            </w:tcBorders>
            <w:vAlign w:val="center"/>
          </w:tcPr>
          <w:p w14:paraId="512481EA">
            <w:pPr>
              <w:spacing w:line="480" w:lineRule="atLeast"/>
              <w:jc w:val="center"/>
            </w:pPr>
            <w:r>
              <w:rPr>
                <w:sz w:val="21"/>
                <w:szCs w:val="21"/>
              </w:rPr>
              <w:t>沿用的科学方法</w:t>
            </w:r>
          </w:p>
        </w:tc>
        <w:tc>
          <w:tcPr>
            <w:tcW w:w="3205" w:type="dxa"/>
            <w:tcBorders>
              <w:top w:val="single" w:color="auto" w:sz="4" w:space="0"/>
            </w:tcBorders>
            <w:vAlign w:val="center"/>
          </w:tcPr>
          <w:p w14:paraId="38FFD301">
            <w:pPr>
              <w:spacing w:line="480" w:lineRule="atLeast"/>
            </w:pPr>
            <w:r>
              <w:rPr>
                <w:sz w:val="21"/>
                <w:szCs w:val="21"/>
              </w:rPr>
              <w:t>分区数据驱动量纲分析方法论（光滑偏导数、减法聚类与模糊划分、子域幂律拟合与清洗协议）、无量纲响应量定义</w:t>
            </w:r>
          </w:p>
        </w:tc>
        <w:tc>
          <w:tcPr>
            <w:tcW w:w="3204" w:type="dxa"/>
            <w:tcBorders>
              <w:top w:val="single" w:color="auto" w:sz="4" w:space="0"/>
            </w:tcBorders>
            <w:vAlign w:val="center"/>
          </w:tcPr>
          <w:p w14:paraId="6584ED1E">
            <w:pPr>
              <w:spacing w:line="480" w:lineRule="atLeast"/>
            </w:pPr>
            <w:r>
              <w:rPr>
                <w:sz w:val="21"/>
                <w:szCs w:val="21"/>
              </w:rPr>
              <w:t>文献</w:t>
            </w:r>
            <w:r>
              <w:rPr>
                <w:sz w:val="21"/>
                <w:szCs w:val="21"/>
                <w:vertAlign w:val="superscript"/>
              </w:rPr>
              <w:t>[11,12]</w:t>
            </w:r>
            <w:r>
              <w:rPr>
                <w:sz w:val="21"/>
                <w:szCs w:val="21"/>
              </w:rPr>
              <w:t>；本项目未修改方法学，仅做工程移植与逐条对齐（2.7 节、6.1 节）</w:t>
            </w:r>
          </w:p>
        </w:tc>
      </w:tr>
      <w:tr w14:paraId="455CBE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69" w:type="dxa"/>
            <w:vAlign w:val="center"/>
          </w:tcPr>
          <w:p w14:paraId="5B5F2853">
            <w:pPr>
              <w:spacing w:line="480" w:lineRule="atLeast"/>
              <w:jc w:val="center"/>
            </w:pPr>
            <w:r>
              <w:rPr>
                <w:sz w:val="21"/>
                <w:szCs w:val="21"/>
              </w:rPr>
              <w:t>沿用的软件</w:t>
            </w:r>
          </w:p>
        </w:tc>
        <w:tc>
          <w:tcPr>
            <w:tcW w:w="3205" w:type="dxa"/>
            <w:vAlign w:val="center"/>
          </w:tcPr>
          <w:p w14:paraId="223247D8">
            <w:pPr>
              <w:spacing w:line="480" w:lineRule="atLeast"/>
            </w:pPr>
            <w:r>
              <w:rPr>
                <w:sz w:val="21"/>
                <w:szCs w:val="21"/>
              </w:rPr>
              <w:t>LIGGGHTS-PUBLIC 3.8 离散元内核、DDDA 原始 MATLAB 实现的协议</w:t>
            </w:r>
          </w:p>
        </w:tc>
        <w:tc>
          <w:tcPr>
            <w:tcW w:w="3204" w:type="dxa"/>
            <w:vAlign w:val="center"/>
          </w:tcPr>
          <w:p w14:paraId="1440A3D9">
            <w:pPr>
              <w:spacing w:line="480" w:lineRule="atLeast"/>
            </w:pPr>
            <w:r>
              <w:rPr>
                <w:sz w:val="21"/>
                <w:szCs w:val="21"/>
              </w:rPr>
              <w:t>文献</w:t>
            </w:r>
            <w:r>
              <w:rPr>
                <w:sz w:val="21"/>
                <w:szCs w:val="21"/>
                <w:vertAlign w:val="superscript"/>
              </w:rPr>
              <w:t>[35]</w:t>
            </w:r>
            <w:r>
              <w:rPr>
                <w:sz w:val="21"/>
                <w:szCs w:val="21"/>
              </w:rPr>
              <w:t>、文献</w:t>
            </w:r>
            <w:r>
              <w:rPr>
                <w:sz w:val="21"/>
                <w:szCs w:val="21"/>
                <w:vertAlign w:val="superscript"/>
              </w:rPr>
              <w:t>[12]</w:t>
            </w:r>
            <w:r>
              <w:rPr>
                <w:sz w:val="21"/>
                <w:szCs w:val="21"/>
              </w:rPr>
              <w:t>及其作者源代码</w:t>
            </w:r>
          </w:p>
        </w:tc>
      </w:tr>
      <w:tr w14:paraId="7D5E20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69" w:type="dxa"/>
            <w:vAlign w:val="center"/>
          </w:tcPr>
          <w:p w14:paraId="057EA469">
            <w:pPr>
              <w:spacing w:line="480" w:lineRule="atLeast"/>
              <w:jc w:val="center"/>
            </w:pPr>
            <w:r>
              <w:rPr>
                <w:sz w:val="21"/>
                <w:szCs w:val="21"/>
              </w:rPr>
              <w:t>项目新增的工程机制</w:t>
            </w:r>
          </w:p>
        </w:tc>
        <w:tc>
          <w:tcPr>
            <w:tcW w:w="3205" w:type="dxa"/>
            <w:vAlign w:val="center"/>
          </w:tcPr>
          <w:p w14:paraId="22C15C5D">
            <w:pPr>
              <w:spacing w:line="480" w:lineRule="atLeast"/>
            </w:pPr>
            <w:r>
              <w:rPr>
                <w:sz w:val="21"/>
                <w:szCs w:val="21"/>
              </w:rPr>
              <w:t>MCP 工具服务封装（仿真/分析/文献三服务）、DDDA 的 MATLAB→纯 Python 移植、三层审稿门（数值审计/视觉审计/异源评审）、审稿失败退回路由、研究账本、两区制上下文压缩、断点续跑与自动复活、三层技能体系</w:t>
            </w:r>
          </w:p>
        </w:tc>
        <w:tc>
          <w:tcPr>
            <w:tcW w:w="3204" w:type="dxa"/>
            <w:vAlign w:val="center"/>
          </w:tcPr>
          <w:p w14:paraId="473285BD">
            <w:pPr>
              <w:spacing w:line="480" w:lineRule="atLeast"/>
            </w:pPr>
            <w:r>
              <w:rPr>
                <w:sz w:val="21"/>
                <w:szCs w:val="21"/>
              </w:rPr>
              <w:t>第 2 章；第 4–5 章以真实运行、消融与失败案例验证</w:t>
            </w:r>
          </w:p>
        </w:tc>
      </w:tr>
      <w:tr w14:paraId="3872EC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69" w:type="dxa"/>
            <w:vAlign w:val="center"/>
          </w:tcPr>
          <w:p w14:paraId="4AEF4513">
            <w:pPr>
              <w:spacing w:line="480" w:lineRule="atLeast"/>
              <w:jc w:val="center"/>
            </w:pPr>
            <w:r>
              <w:rPr>
                <w:sz w:val="21"/>
                <w:szCs w:val="21"/>
              </w:rPr>
              <w:t>项目新得到且经验证的科学结论</w:t>
            </w:r>
          </w:p>
        </w:tc>
        <w:tc>
          <w:tcPr>
            <w:tcW w:w="3205" w:type="dxa"/>
            <w:vAlign w:val="center"/>
          </w:tcPr>
          <w:p w14:paraId="2E9F6D2B">
            <w:pPr>
              <w:spacing w:line="480" w:lineRule="atLeast"/>
            </w:pPr>
            <w:r>
              <w:rPr>
                <w:sz w:val="21"/>
                <w:szCs w:val="21"/>
              </w:rPr>
              <w:t>势能代理量无法用统一简单律描述（六子域、指数符号翻转）；能量分配比的阶梯结构与域内连续性；动能两子域对应弹道/碰撞两种能量注入机制的解读（三源互补证据）；第一轮冻结模型的域内离网格验证误差 16.5%</w:t>
            </w:r>
          </w:p>
        </w:tc>
        <w:tc>
          <w:tcPr>
            <w:tcW w:w="3204" w:type="dxa"/>
            <w:vAlign w:val="center"/>
          </w:tcPr>
          <w:p w14:paraId="122E19B5">
            <w:pPr>
              <w:spacing w:line="480" w:lineRule="atLeast"/>
            </w:pPr>
            <w:r>
              <w:rPr>
                <w:sz w:val="21"/>
                <w:szCs w:val="21"/>
              </w:rPr>
              <w:t>第 4 章；其中动能两子域结构与文献</w:t>
            </w:r>
            <w:r>
              <w:rPr>
                <w:sz w:val="21"/>
                <w:szCs w:val="21"/>
                <w:vertAlign w:val="superscript"/>
              </w:rPr>
              <w:t>[12]</w:t>
            </w:r>
            <w:r>
              <w:rPr>
                <w:sz w:val="21"/>
                <w:szCs w:val="21"/>
              </w:rPr>
              <w:t>的分区结论方向一致、属独立复现，增量在势能结构、能量分配与机制重新解读</w:t>
            </w:r>
          </w:p>
        </w:tc>
      </w:tr>
    </w:tbl>
    <w:p w14:paraId="2585B95E">
      <w:pPr>
        <w:spacing w:line="480" w:lineRule="exact"/>
        <w:ind w:firstLine="560" w:firstLineChars="200"/>
      </w:pPr>
      <w:r>
        <w:t>本文的验证定位需要明确说明：验证任务（能量标度问题）的参数空间与文献</w:t>
      </w:r>
      <w:r>
        <w:rPr>
          <w:sz w:val="18"/>
          <w:szCs w:val="18"/>
          <w:vertAlign w:val="superscript"/>
        </w:rPr>
        <w:t>[12]</w:t>
      </w:r>
      <w:r>
        <w:t>对齐，知识库中包含该文献全文，因此第 4 章的结果属于"给定科学问题下研究管线正确性与自主执行能力的验证"，而非从零开始的自主科学发现；智能体在不依赖该文献内容的盲知识库条件下的表现，作为自主性的补充证据在 5.4 节单独评估。</w:t>
      </w:r>
    </w:p>
    <w:p w14:paraId="5FAACA0C">
      <w:pPr>
        <w:pStyle w:val="2"/>
      </w:pPr>
      <w:bookmarkStart w:id="6" w:name="_Toc19580"/>
      <w:r>
        <w:t>2. 自主科研智能体系统框架</w:t>
      </w:r>
      <w:bookmarkEnd w:id="6"/>
    </w:p>
    <w:p w14:paraId="085CD5BF">
      <w:pPr>
        <w:spacing w:line="480" w:lineRule="exact"/>
        <w:ind w:firstLine="560" w:firstLineChars="200"/>
      </w:pPr>
      <w:r>
        <w:t>自主科研智能体必须回答一个核心问题：如何让语言模型的"智能"与数值计算的"可信"在同一系统中共存——前者擅长理解与决策却不事计算，后者可靠却不解意图。GranuSci 的回答是把二者分离为语义层与计算层，再以账本、审稿门与上下文工程把两者衔接起来：大语言模型运行在一个自主多轮工具调用循环中，承担研究决策与学术表达；仿真与规律拟合两项核心数值计算由计算服务器上的工具服务执行，派生计算由全程留痕的本地工具完成；每个关键发现进入账本留痕，每份产出经独立审稿门放行。本章把系统架构（2.1–2.4）与验证对象及方法（2.5–2.7）放在同一章，因为二者不可分割：智能体的每一项设计——工具接口的语义、账本纪律、审稿门判据——都源于验证对象的特性（重型计算、分区规律、数值必须可溯源）。完整计算配置见附录B。</w:t>
      </w:r>
    </w:p>
    <w:p w14:paraId="19D1D670">
      <w:pPr>
        <w:pStyle w:val="3"/>
      </w:pPr>
      <w:bookmarkStart w:id="7" w:name="_Toc204"/>
      <w:r>
        <w:t>2.1 总体架构</w:t>
      </w:r>
      <w:bookmarkEnd w:id="7"/>
    </w:p>
    <w:p w14:paraId="76EEB2EC">
      <w:pPr>
        <w:spacing w:line="480" w:lineRule="exact"/>
        <w:ind w:firstLine="560" w:firstLineChars="200"/>
      </w:pPr>
      <w:r>
        <w:t>系统按"智能体—工具—知识—审稿"四个部分组织（图 2.1）。智能体核心是一个基于 LangGraph 构建的状态图主循环：每一轮，大语言模型在掌握完整工具集与研究状态（账本、审稿意见、步数预算）的基础上决定下一步行动，工具节点执行全部工具调用并将结果回传，循环往复直至交付并过审。研究启动设计划门：智能体先做文献调研与缺口挖掘、提交结构化研究计划，获批后计划成为执行章程（科学问题与参数范围锚定不变，执行内决策自主）；实验运行支持无人值守模式（计划自动批准），消融实验均在该模式下进行。计算层是自建 128 核服务器上的离散元批量仿真与数据驱动量纲分析两个 MCP 服务；知识层由向量知识库、文献检索服务与技能体系构成；审稿层是独立于智能体的评审节点，本章 2.8 节详述。</w:t>
      </w:r>
    </w:p>
    <w:p w14:paraId="219D4D8C">
      <w:pPr>
        <w:keepNext/>
        <w:spacing w:line="240" w:lineRule="auto"/>
        <w:jc w:val="center"/>
      </w:pPr>
      <w:r>
        <w:drawing>
          <wp:inline distT="0" distB="0" distL="114300" distR="114300">
            <wp:extent cx="5212080" cy="3700780"/>
            <wp:effectExtent l="0" t="0" r="762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12080" cy="3701332"/>
                    </a:xfrm>
                    <a:prstGeom prst="rect">
                      <a:avLst/>
                    </a:prstGeom>
                  </pic:spPr>
                </pic:pic>
              </a:graphicData>
            </a:graphic>
          </wp:inline>
        </w:drawing>
      </w:r>
    </w:p>
    <w:p w14:paraId="6A7A0CDC">
      <w:pPr>
        <w:pStyle w:val="11"/>
        <w:jc w:val="center"/>
      </w:pPr>
      <w:r>
        <w:t>图 2.1　GranuSci 自主科研智能体总体架构：中央为智能体主循环（计划门→研究执行→论文管线），左侧为知识供给（向量知识库/技能体系/文献服务），右侧为计算层（DEM 仿真与 DDDA 分析两个 MCP 服务），下方为审稿门（数值审计/视觉审计/异源评审）与交付物（论文/幻灯片/行为报告）</w:t>
      </w:r>
    </w:p>
    <w:p w14:paraId="0F030EC6">
      <w:pPr>
        <w:spacing w:line="480" w:lineRule="exact"/>
        <w:ind w:firstLine="560" w:firstLineChars="200"/>
      </w:pPr>
      <w:r>
        <w:t>模型分工上，系统使用三个不同来源的模型各司其职：研究主循环使用 GLM-5.3（语义决策）；审稿使用 DeepSeek-V4-Pro（异源评审，避免同源模型的自我偏好）；图像判读使用 Qwen3.8-Max（视觉能力，用于快照机制调查与论文图审计）。推理服务经统一的 OpenAI 兼容接口接入（国产模型走主推理服务，国外模型走本地 OpenAI 兼容网关），路由对智能体透明。基座模型的影响作为消融变量在第 5 章评估。</w:t>
      </w:r>
    </w:p>
    <w:p w14:paraId="07514831">
      <w:pPr>
        <w:spacing w:line="480" w:lineRule="exact"/>
        <w:ind w:firstLine="560" w:firstLineChars="200"/>
      </w:pPr>
      <w:r>
        <w:t>架构设计上有三项经过权衡的决策。</w:t>
      </w:r>
    </w:p>
    <w:p w14:paraId="1708ADAB">
      <w:pPr>
        <w:spacing w:line="480" w:lineRule="exact"/>
        <w:ind w:firstLine="560" w:firstLineChars="200"/>
      </w:pPr>
      <w:r>
        <w:t>其一，编排方式选择"带护栏的自主循环"而非固定工作流。固定工作流（本项目的前期形态，见第 6 章）把"设计—仿真—分析—成文"的骨架固定，可审计性强，但无法响应研究过程中的科学判断——加密方向、异常追查、机制调查的取舍都依赖对中间结果的解读。GranuSci 把决策交还给模型，同时以四类护栏约束长程行为：步数预算与写作预留机制防止研究失衡；账本纪律要求关键发现与失败教训即时记账；审稿门拦截不合格产出；循环守卫拦截重复调用。确定性与自主性的平衡点从"流程固定"移到了"验收严格"。</w:t>
      </w:r>
    </w:p>
    <w:p w14:paraId="4B2D1C5F">
      <w:pPr>
        <w:spacing w:line="480" w:lineRule="exact"/>
        <w:ind w:firstLine="560" w:firstLineChars="200"/>
      </w:pPr>
      <w:r>
        <w:t>其二，工具暴露方式选择 MCP。MCP 是磐石平台原生支持的标准工具协议，工具注册、发现与调用链路完整，且工具服务与智能体完全解耦——平台用户的智能体可在权限规则下复用同一服务（第 6 章）。离散元仿真与 DDDA 分析对编译环境与数值库的依赖由服务器侧容器化解决。</w:t>
      </w:r>
    </w:p>
    <w:p w14:paraId="54FBE6C9">
      <w:pPr>
        <w:spacing w:line="480" w:lineRule="exact"/>
        <w:ind w:firstLine="560" w:firstLineChars="200"/>
      </w:pPr>
      <w:r>
        <w:t>其三，上下文管理选择"缓存友好的两区制压缩"。小时级研究会产生远超模型窗口的消息历史，常规做法是滑动窗口重写（每轮重写历史前缀），但这会使前缀缓存（推理服务对重复前缀的 KV 缓存复用）完全失效，token 成本随轮数二次增长。GranuSci 将消息历史分为冻结区与追加区：冻结区一次性确定性压缩后不再变动，追加区只追加原文，前缀从而保持稳定。基线运行（第 4 章）的前缀缓存命中率达 93.5%，主循环 token 成本因此大幅下降（按未命中口径较完全无缓存低约一个量级；缓存命中输入通常按折扣单价计费，实际费用以服务商计价为准）。</w:t>
      </w:r>
    </w:p>
    <w:p w14:paraId="4CE05401">
      <w:pPr>
        <w:pStyle w:val="3"/>
      </w:pPr>
      <w:bookmarkStart w:id="8" w:name="_Toc2261"/>
      <w:r>
        <w:t>2.2 工具服务层</w:t>
      </w:r>
      <w:bookmarkEnd w:id="8"/>
    </w:p>
    <w:p w14:paraId="14CF1BB5">
      <w:pPr>
        <w:spacing w:line="480" w:lineRule="exact"/>
        <w:ind w:firstLine="560" w:firstLineChars="200"/>
      </w:pPr>
      <w:r>
        <w:t>智能体产出的可信性首先取决于计算本身的可信性：语义层的设计与表达再合理，若仿真与分析不可靠、不可复现，结论便是空中楼阁。为此，本项目将离散元仿真与量纲分析两个环节封装为独立 MCP 服务，经局域网接入智能体。</w:t>
      </w:r>
    </w:p>
    <w:p w14:paraId="2759BE38">
      <w:pPr>
        <w:pStyle w:val="4"/>
      </w:pPr>
      <w:bookmarkStart w:id="9" w:name="_Toc12350"/>
      <w:r>
        <w:t>2.2.1 离散元批量仿真服务</w:t>
      </w:r>
      <w:bookmarkEnd w:id="9"/>
    </w:p>
    <w:p w14:paraId="28609BA9">
      <w:pPr>
        <w:spacing w:line="480" w:lineRule="exact"/>
        <w:ind w:firstLine="560" w:firstLineChars="200"/>
      </w:pPr>
      <w:r>
        <w:t>仿真引擎为基于软球离散元方法</w:t>
      </w:r>
      <w:r>
        <w:rPr>
          <w:sz w:val="18"/>
          <w:szCs w:val="18"/>
          <w:vertAlign w:val="superscript"/>
        </w:rPr>
        <w:t>[30]</w:t>
      </w:r>
      <w:r>
        <w:t>的开源程序 LIGGGHTS-PUBLIC 3.8</w:t>
      </w:r>
      <w:r>
        <w:rPr>
          <w:sz w:val="18"/>
          <w:szCs w:val="18"/>
          <w:vertAlign w:val="superscript"/>
        </w:rPr>
        <w:t>[35]</w:t>
      </w:r>
      <w:r>
        <w:t>，编译集成于 Docker 镜像，运行于 128 核服务器。服务暴露七个工具（表 2.1，末行为观测通道的两个诊断工具）。</w:t>
      </w:r>
    </w:p>
    <w:p w14:paraId="3200A30C">
      <w:pPr>
        <w:pStyle w:val="11"/>
        <w:keepNext/>
        <w:jc w:val="center"/>
      </w:pPr>
      <w:r>
        <w:t>表 2.1 离散元批量仿真服务的工具接口</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203"/>
        <w:gridCol w:w="1642"/>
        <w:gridCol w:w="2439"/>
        <w:gridCol w:w="1994"/>
      </w:tblGrid>
      <w:tr w14:paraId="4E25D0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203" w:type="dxa"/>
            <w:tcBorders>
              <w:bottom w:val="single" w:color="auto" w:sz="4" w:space="0"/>
            </w:tcBorders>
            <w:vAlign w:val="center"/>
          </w:tcPr>
          <w:p w14:paraId="02C9986C">
            <w:pPr>
              <w:spacing w:line="480" w:lineRule="atLeast"/>
              <w:jc w:val="center"/>
            </w:pPr>
            <w:r>
              <w:rPr>
                <w:b/>
                <w:sz w:val="21"/>
                <w:szCs w:val="21"/>
              </w:rPr>
              <w:t>工具</w:t>
            </w:r>
          </w:p>
        </w:tc>
        <w:tc>
          <w:tcPr>
            <w:tcW w:w="1642" w:type="dxa"/>
            <w:tcBorders>
              <w:bottom w:val="single" w:color="auto" w:sz="4" w:space="0"/>
            </w:tcBorders>
            <w:vAlign w:val="center"/>
          </w:tcPr>
          <w:p w14:paraId="6ED9DF48">
            <w:pPr>
              <w:spacing w:line="480" w:lineRule="atLeast"/>
              <w:jc w:val="center"/>
            </w:pPr>
            <w:r>
              <w:rPr>
                <w:b/>
                <w:sz w:val="21"/>
                <w:szCs w:val="21"/>
              </w:rPr>
              <w:t>功能</w:t>
            </w:r>
          </w:p>
        </w:tc>
        <w:tc>
          <w:tcPr>
            <w:tcW w:w="2439" w:type="dxa"/>
            <w:tcBorders>
              <w:bottom w:val="single" w:color="auto" w:sz="4" w:space="0"/>
            </w:tcBorders>
            <w:vAlign w:val="center"/>
          </w:tcPr>
          <w:p w14:paraId="3F4F9728">
            <w:pPr>
              <w:spacing w:line="480" w:lineRule="atLeast"/>
              <w:jc w:val="center"/>
            </w:pPr>
            <w:r>
              <w:rPr>
                <w:b/>
                <w:sz w:val="21"/>
                <w:szCs w:val="21"/>
              </w:rPr>
              <w:t>主要输入</w:t>
            </w:r>
          </w:p>
        </w:tc>
        <w:tc>
          <w:tcPr>
            <w:tcW w:w="1994" w:type="dxa"/>
            <w:tcBorders>
              <w:bottom w:val="single" w:color="auto" w:sz="4" w:space="0"/>
            </w:tcBorders>
            <w:vAlign w:val="center"/>
          </w:tcPr>
          <w:p w14:paraId="585C5462">
            <w:pPr>
              <w:spacing w:line="480" w:lineRule="atLeast"/>
              <w:jc w:val="center"/>
            </w:pPr>
            <w:r>
              <w:rPr>
                <w:b/>
                <w:sz w:val="21"/>
                <w:szCs w:val="21"/>
              </w:rPr>
              <w:t>输出</w:t>
            </w:r>
          </w:p>
        </w:tc>
      </w:tr>
      <w:tr w14:paraId="38C191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tcBorders>
              <w:top w:val="single" w:color="auto" w:sz="4" w:space="0"/>
            </w:tcBorders>
            <w:vAlign w:val="center"/>
          </w:tcPr>
          <w:p w14:paraId="60C260D8">
            <w:pPr>
              <w:spacing w:line="480" w:lineRule="atLeast"/>
              <w:jc w:val="center"/>
            </w:pPr>
            <w:r>
              <w:rPr>
                <w:sz w:val="21"/>
                <w:szCs w:val="21"/>
              </w:rPr>
              <w:t>generate_design</w:t>
            </w:r>
          </w:p>
        </w:tc>
        <w:tc>
          <w:tcPr>
            <w:tcW w:w="1642" w:type="dxa"/>
            <w:tcBorders>
              <w:top w:val="single" w:color="auto" w:sz="4" w:space="0"/>
            </w:tcBorders>
            <w:vAlign w:val="center"/>
          </w:tcPr>
          <w:p w14:paraId="0F6D23CD">
            <w:pPr>
              <w:spacing w:line="480" w:lineRule="atLeast"/>
            </w:pPr>
            <w:r>
              <w:rPr>
                <w:sz w:val="21"/>
                <w:szCs w:val="21"/>
              </w:rPr>
              <w:t>无量纲设计→仿真配置换算</w:t>
            </w:r>
          </w:p>
        </w:tc>
        <w:tc>
          <w:tcPr>
            <w:tcW w:w="2439" w:type="dxa"/>
            <w:tcBorders>
              <w:top w:val="single" w:color="auto" w:sz="4" w:space="0"/>
            </w:tcBorders>
            <w:vAlign w:val="center"/>
          </w:tcPr>
          <w:p w14:paraId="00940D1A">
            <w:pPr>
              <w:spacing w:line="480" w:lineRule="atLeast"/>
            </w:pPr>
            <w:r>
              <w:rPr>
                <w:sz w:val="21"/>
                <w:szCs w:val="21"/>
              </w:rPr>
              <w:t>a/d、Γ、F 水平列表，方案周期数</w:t>
            </w:r>
          </w:p>
        </w:tc>
        <w:tc>
          <w:tcPr>
            <w:tcW w:w="1994" w:type="dxa"/>
            <w:tcBorders>
              <w:top w:val="single" w:color="auto" w:sz="4" w:space="0"/>
            </w:tcBorders>
            <w:vAlign w:val="center"/>
          </w:tcPr>
          <w:p w14:paraId="6C28B8DE">
            <w:pPr>
              <w:spacing w:line="480" w:lineRule="atLeast"/>
            </w:pPr>
            <w:r>
              <w:rPr>
                <w:sz w:val="21"/>
                <w:szCs w:val="21"/>
              </w:rPr>
              <w:t>design_id</w:t>
            </w:r>
          </w:p>
        </w:tc>
      </w:tr>
      <w:tr w14:paraId="4AA2D4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vAlign w:val="center"/>
          </w:tcPr>
          <w:p w14:paraId="2285D744">
            <w:pPr>
              <w:spacing w:line="480" w:lineRule="atLeast"/>
              <w:jc w:val="center"/>
            </w:pPr>
            <w:r>
              <w:rPr>
                <w:sz w:val="21"/>
                <w:szCs w:val="21"/>
              </w:rPr>
              <w:t>run_simulation</w:t>
            </w:r>
          </w:p>
        </w:tc>
        <w:tc>
          <w:tcPr>
            <w:tcW w:w="1642" w:type="dxa"/>
            <w:vAlign w:val="center"/>
          </w:tcPr>
          <w:p w14:paraId="05C82A77">
            <w:pPr>
              <w:spacing w:line="480" w:lineRule="atLeast"/>
            </w:pPr>
            <w:r>
              <w:rPr>
                <w:sz w:val="21"/>
                <w:szCs w:val="21"/>
              </w:rPr>
              <w:t>批量仿真（同步/异步）</w:t>
            </w:r>
          </w:p>
        </w:tc>
        <w:tc>
          <w:tcPr>
            <w:tcW w:w="2439" w:type="dxa"/>
            <w:vAlign w:val="center"/>
          </w:tcPr>
          <w:p w14:paraId="6FA355B3">
            <w:pPr>
              <w:spacing w:line="480" w:lineRule="atLeast"/>
            </w:pPr>
            <w:r>
              <w:rPr>
                <w:sz w:val="21"/>
                <w:szCs w:val="21"/>
              </w:rPr>
              <w:t>design_id、并行度、等待标志与超时</w:t>
            </w:r>
          </w:p>
        </w:tc>
        <w:tc>
          <w:tcPr>
            <w:tcW w:w="1994" w:type="dxa"/>
            <w:vAlign w:val="center"/>
          </w:tcPr>
          <w:p w14:paraId="5597A966">
            <w:pPr>
              <w:spacing w:line="480" w:lineRule="atLeast"/>
            </w:pPr>
            <w:r>
              <w:rPr>
                <w:sz w:val="21"/>
                <w:szCs w:val="21"/>
              </w:rPr>
              <w:t>job_id、作业状态</w:t>
            </w:r>
          </w:p>
        </w:tc>
      </w:tr>
      <w:tr w14:paraId="29C8A9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vAlign w:val="center"/>
          </w:tcPr>
          <w:p w14:paraId="166AD71C">
            <w:pPr>
              <w:spacing w:line="480" w:lineRule="atLeast"/>
              <w:jc w:val="center"/>
            </w:pPr>
            <w:r>
              <w:rPr>
                <w:sz w:val="21"/>
                <w:szCs w:val="21"/>
              </w:rPr>
              <w:t>job_status</w:t>
            </w:r>
          </w:p>
        </w:tc>
        <w:tc>
          <w:tcPr>
            <w:tcW w:w="1642" w:type="dxa"/>
            <w:vAlign w:val="center"/>
          </w:tcPr>
          <w:p w14:paraId="50B692D0">
            <w:pPr>
              <w:spacing w:line="480" w:lineRule="atLeast"/>
            </w:pPr>
            <w:r>
              <w:rPr>
                <w:sz w:val="21"/>
                <w:szCs w:val="21"/>
              </w:rPr>
              <w:t>作业进度查询</w:t>
            </w:r>
          </w:p>
        </w:tc>
        <w:tc>
          <w:tcPr>
            <w:tcW w:w="2439" w:type="dxa"/>
            <w:vAlign w:val="center"/>
          </w:tcPr>
          <w:p w14:paraId="62A10273">
            <w:pPr>
              <w:spacing w:line="480" w:lineRule="atLeast"/>
            </w:pPr>
            <w:r>
              <w:rPr>
                <w:sz w:val="21"/>
                <w:szCs w:val="21"/>
              </w:rPr>
              <w:t>job_id</w:t>
            </w:r>
          </w:p>
        </w:tc>
        <w:tc>
          <w:tcPr>
            <w:tcW w:w="1994" w:type="dxa"/>
            <w:vAlign w:val="center"/>
          </w:tcPr>
          <w:p w14:paraId="030AE19C">
            <w:pPr>
              <w:spacing w:line="480" w:lineRule="atLeast"/>
            </w:pPr>
            <w:r>
              <w:rPr>
                <w:sz w:val="21"/>
                <w:szCs w:val="21"/>
              </w:rPr>
              <w:t>进度与状态</w:t>
            </w:r>
          </w:p>
        </w:tc>
      </w:tr>
      <w:tr w14:paraId="0041C3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vAlign w:val="center"/>
          </w:tcPr>
          <w:p w14:paraId="51E4C226">
            <w:pPr>
              <w:spacing w:line="480" w:lineRule="atLeast"/>
              <w:jc w:val="center"/>
            </w:pPr>
            <w:r>
              <w:rPr>
                <w:sz w:val="21"/>
                <w:szCs w:val="21"/>
              </w:rPr>
              <w:t>postprocess</w:t>
            </w:r>
          </w:p>
        </w:tc>
        <w:tc>
          <w:tcPr>
            <w:tcW w:w="1642" w:type="dxa"/>
            <w:vAlign w:val="center"/>
          </w:tcPr>
          <w:p w14:paraId="70A93C6C">
            <w:pPr>
              <w:spacing w:line="480" w:lineRule="atLeast"/>
            </w:pPr>
            <w:r>
              <w:rPr>
                <w:sz w:val="21"/>
                <w:szCs w:val="21"/>
              </w:rPr>
              <w:t>无量纲响应量提取</w:t>
            </w:r>
          </w:p>
        </w:tc>
        <w:tc>
          <w:tcPr>
            <w:tcW w:w="2439" w:type="dxa"/>
            <w:vAlign w:val="center"/>
          </w:tcPr>
          <w:p w14:paraId="68DFB164">
            <w:pPr>
              <w:spacing w:line="480" w:lineRule="atLeast"/>
            </w:pPr>
            <w:r>
              <w:rPr>
                <w:sz w:val="21"/>
                <w:szCs w:val="21"/>
              </w:rPr>
              <w:t>job_id</w:t>
            </w:r>
          </w:p>
        </w:tc>
        <w:tc>
          <w:tcPr>
            <w:tcW w:w="1994" w:type="dxa"/>
            <w:vAlign w:val="center"/>
          </w:tcPr>
          <w:p w14:paraId="154BCDC4">
            <w:pPr>
              <w:spacing w:line="480" w:lineRule="atLeast"/>
            </w:pPr>
            <w:r>
              <w:rPr>
                <w:sz w:val="21"/>
                <w:szCs w:val="21"/>
              </w:rPr>
              <w:t>responses_file、有效工况数</w:t>
            </w:r>
          </w:p>
        </w:tc>
      </w:tr>
      <w:tr w14:paraId="0DF651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vAlign w:val="center"/>
          </w:tcPr>
          <w:p w14:paraId="01E47B8A">
            <w:pPr>
              <w:spacing w:line="480" w:lineRule="atLeast"/>
              <w:jc w:val="center"/>
            </w:pPr>
            <w:r>
              <w:rPr>
                <w:sz w:val="21"/>
                <w:szCs w:val="21"/>
              </w:rPr>
              <w:t>merge_responses</w:t>
            </w:r>
          </w:p>
        </w:tc>
        <w:tc>
          <w:tcPr>
            <w:tcW w:w="1642" w:type="dxa"/>
            <w:vAlign w:val="center"/>
          </w:tcPr>
          <w:p w14:paraId="1DEB26FA">
            <w:pPr>
              <w:spacing w:line="480" w:lineRule="atLeast"/>
            </w:pPr>
            <w:r>
              <w:rPr>
                <w:sz w:val="21"/>
                <w:szCs w:val="21"/>
              </w:rPr>
              <w:t>多轮响应数据合并</w:t>
            </w:r>
          </w:p>
        </w:tc>
        <w:tc>
          <w:tcPr>
            <w:tcW w:w="2439" w:type="dxa"/>
            <w:vAlign w:val="center"/>
          </w:tcPr>
          <w:p w14:paraId="1E0886D7">
            <w:pPr>
              <w:spacing w:line="480" w:lineRule="atLeast"/>
            </w:pPr>
            <w:r>
              <w:rPr>
                <w:sz w:val="21"/>
                <w:szCs w:val="21"/>
              </w:rPr>
              <w:t>job_id 列表</w:t>
            </w:r>
          </w:p>
        </w:tc>
        <w:tc>
          <w:tcPr>
            <w:tcW w:w="1994" w:type="dxa"/>
            <w:vAlign w:val="center"/>
          </w:tcPr>
          <w:p w14:paraId="5C25F5BA">
            <w:pPr>
              <w:spacing w:line="480" w:lineRule="atLeast"/>
            </w:pPr>
            <w:r>
              <w:rPr>
                <w:sz w:val="21"/>
                <w:szCs w:val="21"/>
              </w:rPr>
              <w:t>merged_file、合并点数</w:t>
            </w:r>
          </w:p>
        </w:tc>
      </w:tr>
      <w:tr w14:paraId="78D5E3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03" w:type="dxa"/>
            <w:vAlign w:val="center"/>
          </w:tcPr>
          <w:p w14:paraId="426FAE7B">
            <w:pPr>
              <w:spacing w:line="480" w:lineRule="atLeast"/>
              <w:jc w:val="center"/>
            </w:pPr>
            <w:r>
              <w:rPr>
                <w:sz w:val="21"/>
                <w:szCs w:val="21"/>
              </w:rPr>
              <w:t>get_snapshot / get_profiles</w:t>
            </w:r>
          </w:p>
        </w:tc>
        <w:tc>
          <w:tcPr>
            <w:tcW w:w="1642" w:type="dxa"/>
            <w:vAlign w:val="center"/>
          </w:tcPr>
          <w:p w14:paraId="6238436B">
            <w:pPr>
              <w:spacing w:line="480" w:lineRule="atLeast"/>
            </w:pPr>
            <w:r>
              <w:rPr>
                <w:sz w:val="21"/>
                <w:szCs w:val="21"/>
              </w:rPr>
              <w:t>单帧快照 / 时均场诊断</w:t>
            </w:r>
          </w:p>
        </w:tc>
        <w:tc>
          <w:tcPr>
            <w:tcW w:w="2439" w:type="dxa"/>
            <w:vAlign w:val="center"/>
          </w:tcPr>
          <w:p w14:paraId="511DABBB">
            <w:pPr>
              <w:spacing w:line="480" w:lineRule="atLeast"/>
            </w:pPr>
            <w:r>
              <w:rPr>
                <w:sz w:val="21"/>
                <w:szCs w:val="21"/>
              </w:rPr>
              <w:t>job_id、case_id</w:t>
            </w:r>
          </w:p>
        </w:tc>
        <w:tc>
          <w:tcPr>
            <w:tcW w:w="1994" w:type="dxa"/>
            <w:vAlign w:val="center"/>
          </w:tcPr>
          <w:p w14:paraId="73FCEE37">
            <w:pPr>
              <w:spacing w:line="480" w:lineRule="atLeast"/>
            </w:pPr>
            <w:r>
              <w:rPr>
                <w:sz w:val="21"/>
                <w:szCs w:val="21"/>
              </w:rPr>
              <w:t>颗粒级快照数组 / 时均剖面</w:t>
            </w:r>
          </w:p>
        </w:tc>
      </w:tr>
    </w:tbl>
    <w:p w14:paraId="272E2B6B">
      <w:pPr>
        <w:spacing w:line="480" w:lineRule="exact"/>
        <w:ind w:firstLine="560" w:firstLineChars="200"/>
      </w:pPr>
      <w:r>
        <w:t>接口设计包含四项考虑。一是研究语义输入、执行语义输出：设计工具接收无量纲研究参数，振幅—频率换算、颗粒数确定、采样间隔与步数估算全部在服务内部完成，智能体一侧不接触任何有量纲物理量，从接口上杜绝量纲误用。二是工况级并行：服务器以 32 路并行执行批量仿真，单轮 400 工况级的设计在分钟级完成；异步提交配合状态查询支持智能体在等待期间推进其他工作。三是床层缓存复用：每个（粒径、层数）组合的自然堆积床层只生成一次并版本化缓存，全参数空间研究避免大量重复的沉降计算。四是观测通道：除响应量统计外，服务保留逐工况的颗粒级 dump 序列，暴露单帧快照（颗粒位置、速度、粒径、类型）与时间平均场（固相分数剖面、速度场、高度时间序列）两个诊断工具，使机制调查——相态判读、对流环识别、气隙诊断——可以直接建立在原始数据而非统计摘要之上（2.8 节的视觉审计亦依赖该通道）。后处理按 2.6 节定义计算无量纲响应量，输出物理空间 CSV，并与独立手算交叉验证。</w:t>
      </w:r>
    </w:p>
    <w:p w14:paraId="2BDF785D">
      <w:pPr>
        <w:pStyle w:val="4"/>
      </w:pPr>
      <w:bookmarkStart w:id="10" w:name="_Toc12323"/>
      <w:r>
        <w:t>2.2.2 规律发现服务：数据驱动量纲分析</w:t>
      </w:r>
      <w:bookmarkEnd w:id="10"/>
    </w:p>
    <w:p w14:paraId="03214F4E">
      <w:pPr>
        <w:spacing w:line="480" w:lineRule="exact"/>
        <w:ind w:firstLine="560" w:firstLineChars="200"/>
      </w:pPr>
      <w:r>
        <w:t>DDDA 的原始实现基于 MATLAB 模糊逻辑工具箱，无法服务化部署。本工作将其完整移植为无 MATLAB 依赖的 Python 服务，全部方法细节与文献</w:t>
      </w:r>
      <w:r>
        <w:rPr>
          <w:sz w:val="18"/>
          <w:szCs w:val="18"/>
          <w:vertAlign w:val="superscript"/>
        </w:rPr>
        <w:t>[12]</w:t>
      </w:r>
      <w:r>
        <w:t>及其附录 A 逐条对齐（方法论概述见 2.7 节）。服务接口见表 2.2。</w:t>
      </w:r>
    </w:p>
    <w:p w14:paraId="3C26B116">
      <w:pPr>
        <w:pStyle w:val="11"/>
        <w:keepNext/>
        <w:jc w:val="center"/>
      </w:pPr>
      <w:r>
        <w:t>表 2.2 数据驱动量纲分析服务的工具接口</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709"/>
        <w:gridCol w:w="1736"/>
        <w:gridCol w:w="3833"/>
      </w:tblGrid>
      <w:tr w14:paraId="5EFE1B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709" w:type="dxa"/>
            <w:tcBorders>
              <w:bottom w:val="single" w:color="auto" w:sz="4" w:space="0"/>
            </w:tcBorders>
            <w:vAlign w:val="center"/>
          </w:tcPr>
          <w:p w14:paraId="562D0F46">
            <w:pPr>
              <w:spacing w:line="480" w:lineRule="atLeast"/>
              <w:jc w:val="center"/>
            </w:pPr>
            <w:r>
              <w:rPr>
                <w:b/>
                <w:sz w:val="21"/>
                <w:szCs w:val="21"/>
              </w:rPr>
              <w:t>工具</w:t>
            </w:r>
          </w:p>
        </w:tc>
        <w:tc>
          <w:tcPr>
            <w:tcW w:w="1736" w:type="dxa"/>
            <w:tcBorders>
              <w:bottom w:val="single" w:color="auto" w:sz="4" w:space="0"/>
            </w:tcBorders>
            <w:vAlign w:val="center"/>
          </w:tcPr>
          <w:p w14:paraId="588B35A6">
            <w:pPr>
              <w:spacing w:line="480" w:lineRule="atLeast"/>
              <w:jc w:val="center"/>
            </w:pPr>
            <w:r>
              <w:rPr>
                <w:b/>
                <w:sz w:val="21"/>
                <w:szCs w:val="21"/>
              </w:rPr>
              <w:t>功能</w:t>
            </w:r>
          </w:p>
        </w:tc>
        <w:tc>
          <w:tcPr>
            <w:tcW w:w="3833" w:type="dxa"/>
            <w:tcBorders>
              <w:bottom w:val="single" w:color="auto" w:sz="4" w:space="0"/>
            </w:tcBorders>
            <w:vAlign w:val="center"/>
          </w:tcPr>
          <w:p w14:paraId="41BC0BDD">
            <w:pPr>
              <w:spacing w:line="480" w:lineRule="atLeast"/>
              <w:jc w:val="center"/>
            </w:pPr>
            <w:r>
              <w:rPr>
                <w:b/>
                <w:sz w:val="21"/>
                <w:szCs w:val="21"/>
              </w:rPr>
              <w:t>说明</w:t>
            </w:r>
          </w:p>
        </w:tc>
      </w:tr>
      <w:tr w14:paraId="197416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tcBorders>
              <w:top w:val="single" w:color="auto" w:sz="4" w:space="0"/>
            </w:tcBorders>
            <w:vAlign w:val="center"/>
          </w:tcPr>
          <w:p w14:paraId="3682F31D">
            <w:pPr>
              <w:spacing w:line="480" w:lineRule="atLeast"/>
              <w:jc w:val="center"/>
            </w:pPr>
            <w:r>
              <w:rPr>
                <w:sz w:val="21"/>
                <w:szCs w:val="21"/>
              </w:rPr>
              <w:t>compute_derivatives</w:t>
            </w:r>
          </w:p>
        </w:tc>
        <w:tc>
          <w:tcPr>
            <w:tcW w:w="1736" w:type="dxa"/>
            <w:tcBorders>
              <w:top w:val="single" w:color="auto" w:sz="4" w:space="0"/>
            </w:tcBorders>
            <w:vAlign w:val="center"/>
          </w:tcPr>
          <w:p w14:paraId="627EF49C">
            <w:pPr>
              <w:spacing w:line="480" w:lineRule="atLeast"/>
            </w:pPr>
            <w:r>
              <w:rPr>
                <w:sz w:val="21"/>
                <w:szCs w:val="21"/>
              </w:rPr>
              <w:t>光滑偏导数计算</w:t>
            </w:r>
          </w:p>
        </w:tc>
        <w:tc>
          <w:tcPr>
            <w:tcW w:w="3833" w:type="dxa"/>
            <w:tcBorders>
              <w:top w:val="single" w:color="auto" w:sz="4" w:space="0"/>
            </w:tcBorders>
            <w:vAlign w:val="center"/>
          </w:tcPr>
          <w:p w14:paraId="6DA493BA">
            <w:pPr>
              <w:spacing w:line="480" w:lineRule="atLeast"/>
            </w:pPr>
            <w:r>
              <w:rPr>
                <w:sz w:val="21"/>
                <w:szCs w:val="21"/>
              </w:rPr>
              <w:t>KDE 自适应加权局部线性拟合</w:t>
            </w:r>
          </w:p>
        </w:tc>
      </w:tr>
      <w:tr w14:paraId="12326E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vAlign w:val="center"/>
          </w:tcPr>
          <w:p w14:paraId="5D32EAB3">
            <w:pPr>
              <w:spacing w:line="480" w:lineRule="atLeast"/>
              <w:jc w:val="center"/>
            </w:pPr>
            <w:r>
              <w:rPr>
                <w:sz w:val="21"/>
                <w:szCs w:val="21"/>
              </w:rPr>
              <w:t>cluster_analysis</w:t>
            </w:r>
          </w:p>
        </w:tc>
        <w:tc>
          <w:tcPr>
            <w:tcW w:w="1736" w:type="dxa"/>
            <w:vAlign w:val="center"/>
          </w:tcPr>
          <w:p w14:paraId="6D3A31FD">
            <w:pPr>
              <w:spacing w:line="480" w:lineRule="atLeast"/>
            </w:pPr>
            <w:r>
              <w:rPr>
                <w:sz w:val="21"/>
                <w:szCs w:val="21"/>
              </w:rPr>
              <w:t>自动分区</w:t>
            </w:r>
          </w:p>
        </w:tc>
        <w:tc>
          <w:tcPr>
            <w:tcW w:w="3833" w:type="dxa"/>
            <w:vAlign w:val="center"/>
          </w:tcPr>
          <w:p w14:paraId="541C155A">
            <w:pPr>
              <w:spacing w:line="480" w:lineRule="atLeast"/>
            </w:pPr>
            <w:r>
              <w:rPr>
                <w:sz w:val="21"/>
                <w:szCs w:val="21"/>
              </w:rPr>
              <w:t>减法聚类 + FCM，自动确定子域数</w:t>
            </w:r>
          </w:p>
        </w:tc>
      </w:tr>
      <w:tr w14:paraId="517EE5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vAlign w:val="center"/>
          </w:tcPr>
          <w:p w14:paraId="5B05B09C">
            <w:pPr>
              <w:spacing w:line="480" w:lineRule="atLeast"/>
              <w:jc w:val="center"/>
            </w:pPr>
            <w:r>
              <w:rPr>
                <w:sz w:val="21"/>
                <w:szCs w:val="21"/>
              </w:rPr>
              <w:t>fit_power_function</w:t>
            </w:r>
          </w:p>
        </w:tc>
        <w:tc>
          <w:tcPr>
            <w:tcW w:w="1736" w:type="dxa"/>
            <w:vAlign w:val="center"/>
          </w:tcPr>
          <w:p w14:paraId="0029F2AE">
            <w:pPr>
              <w:spacing w:line="480" w:lineRule="atLeast"/>
            </w:pPr>
            <w:r>
              <w:rPr>
                <w:sz w:val="21"/>
                <w:szCs w:val="21"/>
              </w:rPr>
              <w:t>单子域幂律拟合</w:t>
            </w:r>
          </w:p>
        </w:tc>
        <w:tc>
          <w:tcPr>
            <w:tcW w:w="3833" w:type="dxa"/>
            <w:vAlign w:val="center"/>
          </w:tcPr>
          <w:p w14:paraId="2105403B">
            <w:pPr>
              <w:spacing w:line="480" w:lineRule="atLeast"/>
            </w:pPr>
            <w:r>
              <w:rPr>
                <w:sz w:val="21"/>
                <w:szCs w:val="21"/>
              </w:rPr>
              <w:t>指数扫描回退机制</w:t>
            </w:r>
          </w:p>
        </w:tc>
      </w:tr>
      <w:tr w14:paraId="3CC686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vAlign w:val="center"/>
          </w:tcPr>
          <w:p w14:paraId="79E99B23">
            <w:pPr>
              <w:spacing w:line="480" w:lineRule="atLeast"/>
              <w:jc w:val="center"/>
            </w:pPr>
            <w:r>
              <w:rPr>
                <w:sz w:val="21"/>
                <w:szCs w:val="21"/>
              </w:rPr>
              <w:t>run_full_pipeline</w:t>
            </w:r>
          </w:p>
        </w:tc>
        <w:tc>
          <w:tcPr>
            <w:tcW w:w="1736" w:type="dxa"/>
            <w:vAlign w:val="center"/>
          </w:tcPr>
          <w:p w14:paraId="2B75093C">
            <w:pPr>
              <w:spacing w:line="480" w:lineRule="atLeast"/>
            </w:pPr>
            <w:r>
              <w:rPr>
                <w:sz w:val="21"/>
                <w:szCs w:val="21"/>
              </w:rPr>
              <w:t>全流程分析</w:t>
            </w:r>
          </w:p>
        </w:tc>
        <w:tc>
          <w:tcPr>
            <w:tcW w:w="3833" w:type="dxa"/>
            <w:vAlign w:val="center"/>
          </w:tcPr>
          <w:p w14:paraId="0BF6A3E4">
            <w:pPr>
              <w:spacing w:line="480" w:lineRule="atLeast"/>
            </w:pPr>
            <w:r>
              <w:rPr>
                <w:sz w:val="21"/>
                <w:szCs w:val="21"/>
              </w:rPr>
              <w:t>偏导数→分区→拟合→结果汇总</w:t>
            </w:r>
          </w:p>
        </w:tc>
      </w:tr>
      <w:tr w14:paraId="7F0303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vAlign w:val="center"/>
          </w:tcPr>
          <w:p w14:paraId="67546DCB">
            <w:pPr>
              <w:spacing w:line="480" w:lineRule="atLeast"/>
              <w:jc w:val="center"/>
            </w:pPr>
            <w:r>
              <w:rPr>
                <w:sz w:val="21"/>
                <w:szCs w:val="21"/>
              </w:rPr>
              <w:t>predict</w:t>
            </w:r>
          </w:p>
        </w:tc>
        <w:tc>
          <w:tcPr>
            <w:tcW w:w="1736" w:type="dxa"/>
            <w:vAlign w:val="center"/>
          </w:tcPr>
          <w:p w14:paraId="4A13EE84">
            <w:pPr>
              <w:spacing w:line="480" w:lineRule="atLeast"/>
            </w:pPr>
            <w:r>
              <w:rPr>
                <w:sz w:val="21"/>
                <w:szCs w:val="21"/>
              </w:rPr>
              <w:t>新参数点预测</w:t>
            </w:r>
          </w:p>
        </w:tc>
        <w:tc>
          <w:tcPr>
            <w:tcW w:w="3833" w:type="dxa"/>
            <w:vAlign w:val="center"/>
          </w:tcPr>
          <w:p w14:paraId="39886F10">
            <w:pPr>
              <w:spacing w:line="480" w:lineRule="atLeast"/>
            </w:pPr>
            <w:r>
              <w:rPr>
                <w:sz w:val="21"/>
                <w:szCs w:val="21"/>
              </w:rPr>
              <w:t>KNN 投票子域归属 + 幂律预测</w:t>
            </w:r>
          </w:p>
        </w:tc>
      </w:tr>
      <w:tr w14:paraId="136E67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709" w:type="dxa"/>
            <w:vAlign w:val="center"/>
          </w:tcPr>
          <w:p w14:paraId="551587F1">
            <w:pPr>
              <w:spacing w:line="480" w:lineRule="atLeast"/>
              <w:jc w:val="center"/>
            </w:pPr>
            <w:r>
              <w:rPr>
                <w:sz w:val="21"/>
                <w:szCs w:val="21"/>
              </w:rPr>
              <w:t>load_data_url</w:t>
            </w:r>
          </w:p>
        </w:tc>
        <w:tc>
          <w:tcPr>
            <w:tcW w:w="1736" w:type="dxa"/>
            <w:vAlign w:val="center"/>
          </w:tcPr>
          <w:p w14:paraId="0CCFFC06">
            <w:pPr>
              <w:spacing w:line="480" w:lineRule="atLeast"/>
            </w:pPr>
            <w:r>
              <w:rPr>
                <w:sz w:val="21"/>
                <w:szCs w:val="21"/>
              </w:rPr>
              <w:t>远程数据载入</w:t>
            </w:r>
          </w:p>
        </w:tc>
        <w:tc>
          <w:tcPr>
            <w:tcW w:w="3833" w:type="dxa"/>
            <w:vAlign w:val="center"/>
          </w:tcPr>
          <w:p w14:paraId="71B0ACCC">
            <w:pPr>
              <w:spacing w:line="480" w:lineRule="atLeast"/>
            </w:pPr>
            <w:r>
              <w:rPr>
                <w:sz w:val="21"/>
                <w:szCs w:val="21"/>
              </w:rPr>
              <w:t>支持物理空间 CSV 直传</w:t>
            </w:r>
          </w:p>
        </w:tc>
      </w:tr>
    </w:tbl>
    <w:p w14:paraId="59E215EF">
      <w:pPr>
        <w:spacing w:line="480" w:lineRule="exact"/>
        <w:ind w:firstLine="560" w:firstLineChars="200"/>
      </w:pPr>
      <w:r>
        <w:t xml:space="preserve">设计要点有三。一是物理空间输入约定：数据以物理空间 CSV 直传，接口显式声明空间语义，避免对数空间转换引入的二次错误。二是样本量自适应与分辨率参数：分区粒度由减法聚类半径参数 </w:t>
      </w:r>
      <m:oMath>
        <m:sSub>
          <m:sSubPr/>
          <m:e>
            <m:r>
              <m:rPr/>
              <w:rPr>
                <w:sz w:val="24"/>
                <w:szCs w:val="24"/>
              </w:rPr>
              <m:t>r</m:t>
            </m:r>
          </m:e>
          <m:sub>
            <m:r>
              <m:rPr/>
              <w:rPr>
                <w:sz w:val="24"/>
                <w:szCs w:val="24"/>
              </w:rPr>
              <m:t>a</m:t>
            </m:r>
          </m:sub>
        </m:sSub>
      </m:oMath>
      <w:r>
        <w:t xml:space="preserve"> 控制，服务依据样本规模与响应量形态自动或按指定参数分区，</w:t>
      </w:r>
      <m:oMath>
        <m:sSub>
          <m:sSubPr/>
          <m:e>
            <m:r>
              <m:rPr/>
              <w:rPr>
                <w:sz w:val="24"/>
                <w:szCs w:val="24"/>
              </w:rPr>
              <m:t>r</m:t>
            </m:r>
          </m:e>
          <m:sub>
            <m:r>
              <m:rPr/>
              <w:rPr>
                <w:sz w:val="24"/>
                <w:szCs w:val="24"/>
              </w:rPr>
              <m:t>a</m:t>
            </m:r>
          </m:sub>
        </m:sSub>
      </m:oMath>
      <w:r>
        <w:t xml:space="preserve"> 的分辨率—精度权衡在第 5 章消融中定量评估。三是结构化错误返回：输入坐标列与既有拟合结果不匹配等错误以结构化信息返回（含出错文件的路径与解法指引），供智能体自主处置。</w:t>
      </w:r>
    </w:p>
    <w:p w14:paraId="14F05C83">
      <w:pPr>
        <w:pStyle w:val="4"/>
      </w:pPr>
      <w:bookmarkStart w:id="11" w:name="_Toc28679"/>
      <w:r>
        <w:t>2.2.3 论文与图表工具</w:t>
      </w:r>
      <w:bookmarkEnd w:id="11"/>
    </w:p>
    <w:p w14:paraId="20CAE851">
      <w:pPr>
        <w:spacing w:line="480" w:lineRule="exact"/>
        <w:ind w:firstLine="560" w:firstLineChars="200"/>
      </w:pPr>
      <w:r>
        <w:t>学术产出链路由智能体本地工具承担。绘图工具以 matplotlib 为后端按美国物理学会（APS）出版尺寸（单栏 3.4 英寸/双栏 7.0 英寸）出图，支持折线、散点、对数、热图、误差棒与颗粒快照等图型；绘图数据须从工具记录转录，或经引用机制直接取自工具调用缓存（见 2.3 节），数值审计因此可追溯图注。派生计算工具执行任意数据派生计算（换算、平均、成对比较），以打印输出留痕——提示词明确要求一切进入论文的派生数值必须经此通道产生工具记录，禁止心算。稿件工具落盘 REVTeX 4.2 论文源文件（低于结构下限拒收），编译工具批处理编译并将错误结构化返回供自主修复，提交工具校验编译产物、章节数与图引用完备性后送入审稿门；幻灯片子系统复用论文图表生成 Beamer 汇报。</w:t>
      </w:r>
    </w:p>
    <w:p w14:paraId="73A4F285">
      <w:pPr>
        <w:pStyle w:val="3"/>
      </w:pPr>
      <w:bookmarkStart w:id="12" w:name="_Toc19416"/>
      <w:r>
        <w:t>2.3 自主研究工作流与可靠性机制</w:t>
      </w:r>
      <w:bookmarkEnd w:id="12"/>
    </w:p>
    <w:p w14:paraId="3C8FD5F5">
      <w:pPr>
        <w:spacing w:line="480" w:lineRule="exact"/>
        <w:ind w:firstLine="560" w:firstLineChars="200"/>
      </w:pPr>
      <w:r>
        <w:t>智能体的研究过程沿一条完整的认知循环展开：文献调研与缺口挖掘→研究计划→无量纲实验设计→批量仿真→DDDA 分析→自适应加密决策→机制调查→论文撰写→审稿→修复→交付。以下按可靠性机制而非时间顺序描述工作流设计，因为正是这些机制使自主循环在小时级任务中不失控。</w:t>
      </w:r>
    </w:p>
    <w:p w14:paraId="5164C9F0">
      <w:pPr>
        <w:spacing w:line="480" w:lineRule="exact"/>
        <w:ind w:firstLine="562" w:firstLineChars="200"/>
      </w:pPr>
      <w:r>
        <w:rPr>
          <w:b/>
        </w:rPr>
        <w:t>研究账本。</w:t>
      </w:r>
      <w:r>
        <w:t>智能体被要求（并通过提示词纪律强化）将每一条关键发现即时记账：缺口与开放问题、实验设计与决策依据、仿真产物路径、DDDA 结果、机制观察、标度律结论、失败教训。账本每轮注入上下文，因此成为压缩与中断都不可破坏的权威记忆；论文写作以账本为数据底稿，审稿修复与断点续跑都依赖它。账本条目携带置信度分级（数值直接来自工具返回为 high，经计算组合为 medium，定性推断为 low），写入论文时按级别调整措辞。</w:t>
      </w:r>
    </w:p>
    <w:p w14:paraId="0808B523">
      <w:pPr>
        <w:spacing w:line="480" w:lineRule="exact"/>
        <w:ind w:firstLine="562" w:firstLineChars="200"/>
      </w:pPr>
      <w:r>
        <w:rPr>
          <w:b/>
        </w:rPr>
        <w:t>上下文工程。</w:t>
      </w:r>
      <w:r>
        <w:t>工具结果超过阈值即截断，截断信息附带机器可读的字段清单（字段树），使智能体无需试探即可引用深层嵌套数据；大数组经引用机制由绘图工具直接从调用缓存取数，不经过语言模型上下文。状态查询类工具（作业进度、后处理）幂等缓存，同参数重复调用直接返回上次结果。连续重复调用守卫拦截同参数复读死循环。</w:t>
      </w:r>
    </w:p>
    <w:p w14:paraId="610B6F0E">
      <w:pPr>
        <w:spacing w:line="480" w:lineRule="exact"/>
        <w:ind w:firstLine="562" w:firstLineChars="200"/>
      </w:pPr>
      <w:r>
        <w:rPr>
          <w:b/>
        </w:rPr>
        <w:t>断点续跑与自动复活。</w:t>
      </w:r>
      <w:r>
        <w:t>全部研究状态经断点机制持久化；语言模型配额耗尽、服务故障等可恢复终态不丢失进度，条件恢复后自动续跑。基线运行期间团队配额多次耗尽，均在恢复后无损续跑。</w:t>
      </w:r>
    </w:p>
    <w:p w14:paraId="129395B5">
      <w:pPr>
        <w:spacing w:line="480" w:lineRule="exact"/>
        <w:ind w:firstLine="562" w:firstLineChars="200"/>
      </w:pPr>
      <w:r>
        <w:rPr>
          <w:b/>
        </w:rPr>
        <w:t>跨会话经验。</w:t>
      </w:r>
      <w:r>
        <w:t>运行收尾时将环境特性、已验证做法与行为陷阱蒸馏为经验记忆注入后续运行，与技能体系互补；疑似工具缺陷走开发者工单而不进入智能体上下文，由代码修复闭环。</w:t>
      </w:r>
    </w:p>
    <w:p w14:paraId="6F9028D1">
      <w:pPr>
        <w:pStyle w:val="3"/>
      </w:pPr>
      <w:bookmarkStart w:id="13" w:name="_Toc5980"/>
      <w:r>
        <w:t>2.4 文献检索与知识约束</w:t>
      </w:r>
      <w:bookmarkEnd w:id="13"/>
    </w:p>
    <w:p w14:paraId="6277D6F6">
      <w:pPr>
        <w:spacing w:line="480" w:lineRule="exact"/>
        <w:ind w:firstLine="560" w:firstLineChars="200"/>
      </w:pPr>
      <w:r>
        <w:t>领域知识经三条互补的供给通道进入智能体，全部通过检索而非提示词注入——知识不进提示词是本系统的一条原则，它使同一智能体可以通过更换知识库适配不同研究方向。</w:t>
      </w:r>
    </w:p>
    <w:p w14:paraId="7CCB15EF">
      <w:pPr>
        <w:spacing w:line="480" w:lineRule="exact"/>
        <w:ind w:firstLine="562" w:firstLineChars="200"/>
      </w:pPr>
      <w:r>
        <w:rPr>
          <w:b/>
        </w:rPr>
        <w:t>向量知识库。</w:t>
      </w:r>
      <w:r>
        <w:t>领域综述（相态现象学、偏析机制、量纲分析方法论文献汇编）、验证文献全文</w:t>
      </w:r>
      <w:r>
        <w:rPr>
          <w:sz w:val="18"/>
          <w:szCs w:val="18"/>
          <w:vertAlign w:val="superscript"/>
        </w:rPr>
        <w:t>[12]</w:t>
      </w:r>
      <w:r>
        <w:t>与工具接口契约经分块、嵌入后存入向量库，按语义检索返回原文块与出处。综述汇编时即标注每条知识的原始文献出处，供智能体引用。</w:t>
      </w:r>
    </w:p>
    <w:p w14:paraId="5097F060">
      <w:pPr>
        <w:spacing w:line="480" w:lineRule="exact"/>
        <w:ind w:firstLine="562" w:firstLineChars="200"/>
      </w:pPr>
      <w:r>
        <w:rPr>
          <w:b/>
        </w:rPr>
        <w:t>文献发现与精读。</w:t>
      </w:r>
      <w:r>
        <w:t>文献发现由两条通道承担：波尔开放文献服务的文献大模型检索（设快速、专业、深度综述三档，并面向科学声明提供查新）与 OpenAlex 开放学术库检索（元数据级，免费无配额）。已知 DOI 或题名的全文精读经本地文献工作台完成：全文获取工具取回论文并解析为结构化文本，精读子代理在独立上下文通读全文并返回结构化摘要（方法、关键数值、可引用要点），主对话只接收摘要——整篇全文不灌入主上下文。批量主题调研由调研子代理完成：检索查询生成、文献筛选、精读与综述在独立上下文中流水完成。</w:t>
      </w:r>
    </w:p>
    <w:p w14:paraId="4319AA0B">
      <w:pPr>
        <w:spacing w:line="480" w:lineRule="exact"/>
        <w:ind w:firstLine="562" w:firstLineChars="200"/>
      </w:pPr>
      <w:r>
        <w:rPr>
          <w:b/>
        </w:rPr>
        <w:t>技能体系。</w:t>
      </w:r>
      <w:r>
        <w:t>操作性方法论（如何设计实验、如何调用仿真服务、如何写论文）以技能形式供给，采用三层渐进加载控制上下文成本：第一层是目录索引（技能名与一句话说明，常驻系统提示词），第二层是技能主体（按需加载），第三层是深层参考文档（审稿评分细则、失败模式清单、论证结构参考等，仅在对应环节加载）。技能与知识库的分工是：技能是蒸馏过的操作知识，知识库是原始文献。</w:t>
      </w:r>
    </w:p>
    <w:p w14:paraId="2BFB600A">
      <w:pPr>
        <w:spacing w:line="480" w:lineRule="exact"/>
        <w:ind w:firstLine="562" w:firstLineChars="200"/>
      </w:pPr>
      <w:r>
        <w:rPr>
          <w:b/>
        </w:rPr>
        <w:t>结果溯源纪律。</w:t>
      </w:r>
      <w:r>
        <w:t>提示词与审稿标准共同约束知识的使用边界：研究结果节的数值必须来自本研究管线的工具返回（仿真与规律发现服务）；知识库与文献中读到的数值属于文献值，只能进入引言与对照讨论并明确标注引用——把文献数字改头换面写进结果节被视为最严重的学术不端。该纪律与 2.8 节数值审计配合，构成对"数字洗白"的防线。</w:t>
      </w:r>
    </w:p>
    <w:p w14:paraId="61E2F556">
      <w:pPr>
        <w:pStyle w:val="3"/>
      </w:pPr>
      <w:bookmarkStart w:id="14" w:name="_Toc17307"/>
      <w:r>
        <w:t>2.5 验证对象：振动颗粒体系及其相态现象学</w:t>
      </w:r>
      <w:bookmarkEnd w:id="14"/>
    </w:p>
    <w:p w14:paraId="0534C6B7">
      <w:pPr>
        <w:spacing w:line="480" w:lineRule="exact"/>
        <w:ind w:firstLine="560" w:firstLineChars="200"/>
      </w:pPr>
      <w:r>
        <w:t>验证对象为准二维竖直振动干颗粒体系：颗粒填充于密闭方槽中，槽底在竖直方向做正弦振动，位移为</w:t>
      </w:r>
    </w:p>
    <w:p w14:paraId="6508EE5B">
      <w:pPr>
        <w:tabs>
          <w:tab w:val="center" w:pos="4139"/>
          <w:tab w:val="right" w:pos="8278"/>
        </w:tabs>
        <w:spacing w:line="560" w:lineRule="atLeast"/>
      </w:pPr>
      <w:r>
        <w:tab/>
      </w:r>
      <m:oMath>
        <m:r>
          <m:rPr/>
          <m:t>X = a·sin(2πft)</m:t>
        </m:r>
      </m:oMath>
      <w:r>
        <w:tab/>
      </w:r>
      <w:r>
        <w:t>(1)</w:t>
      </w:r>
    </w:p>
    <w:p w14:paraId="405741C0">
      <w:pPr>
        <w:spacing w:line="480" w:lineRule="exact"/>
        <w:ind w:firstLine="560" w:firstLineChars="200"/>
      </w:pPr>
      <w:r>
        <w:t xml:space="preserve">其中 </w:t>
      </w:r>
      <m:oMath>
        <m:r>
          <m:rPr/>
          <w:rPr>
            <w:sz w:val="24"/>
            <w:szCs w:val="24"/>
          </w:rPr>
          <m:t>a</m:t>
        </m:r>
      </m:oMath>
      <w:r>
        <w:t xml:space="preserve"> 为振幅，</w:t>
      </w:r>
      <m:oMath>
        <m:r>
          <m:rPr/>
          <w:rPr>
            <w:sz w:val="24"/>
            <w:szCs w:val="24"/>
          </w:rPr>
          <m:t>f</m:t>
        </m:r>
      </m:oMath>
      <w:r>
        <w:t xml:space="preserve"> 为振动频率。体系由三个无量纲参数刻画：</w:t>
      </w:r>
    </w:p>
    <w:p w14:paraId="1803FEA6">
      <w:pPr>
        <w:tabs>
          <w:tab w:val="center" w:pos="4139"/>
          <w:tab w:val="right" w:pos="8278"/>
        </w:tabs>
        <w:spacing w:line="560" w:lineRule="atLeast"/>
      </w:pPr>
      <w:r>
        <w:tab/>
      </w:r>
      <m:oMath>
        <m:r>
          <m:rPr/>
          <m:t xml:space="preserve">Γ = </m:t>
        </m:r>
        <m:f>
          <m:fPr/>
          <m:num>
            <m:sSup>
              <m:sSupPr/>
              <m:e>
                <m:r>
                  <m:rPr/>
                  <m:t>a(2πf)</m:t>
                </m:r>
              </m:e>
              <m:sup>
                <m:r>
                  <m:rPr/>
                  <m:t>2</m:t>
                </m:r>
              </m:sup>
            </m:sSup>
          </m:num>
          <m:den>
            <m:r>
              <m:rPr/>
              <m:t>g</m:t>
            </m:r>
          </m:den>
        </m:f>
      </m:oMath>
      <w:r>
        <w:tab/>
      </w:r>
      <w:r>
        <w:t>(2)</w:t>
      </w:r>
    </w:p>
    <w:p w14:paraId="23FDC22D">
      <w:pPr>
        <w:tabs>
          <w:tab w:val="center" w:pos="4139"/>
          <w:tab w:val="right" w:pos="8278"/>
        </w:tabs>
        <w:spacing w:line="560" w:lineRule="atLeast"/>
      </w:pPr>
      <w:r>
        <w:tab/>
      </w:r>
      <m:oMath>
        <m:r>
          <m:rPr/>
          <m:t xml:space="preserve">F = </m:t>
        </m:r>
        <m:f>
          <m:fPr/>
          <m:num>
            <m:r>
              <m:rPr/>
              <m:t>n</m:t>
            </m:r>
          </m:num>
          <m:den>
            <m:r>
              <m:rPr/>
              <m:t>L/d</m:t>
            </m:r>
          </m:den>
        </m:f>
      </m:oMath>
      <w:r>
        <w:tab/>
      </w:r>
      <w:r>
        <w:t>(3)</w:t>
      </w:r>
    </w:p>
    <w:p w14:paraId="3C1C797D">
      <w:pPr>
        <w:spacing w:line="480" w:lineRule="exact"/>
        <w:ind w:firstLine="480" w:firstLineChars="200"/>
      </w:pPr>
      <m:oMath>
        <m:r>
          <m:rPr/>
          <w:rPr>
            <w:sz w:val="24"/>
            <w:szCs w:val="24"/>
          </w:rPr>
          <m:t>Γ</m:t>
        </m:r>
      </m:oMath>
      <w:r>
        <w:t xml:space="preserve"> 为振动强度，即底板最大加速度与重力加速度之比；</w:t>
      </w:r>
      <m:oMath>
        <m:r>
          <m:rPr/>
          <w:rPr>
            <w:sz w:val="24"/>
            <w:szCs w:val="24"/>
          </w:rPr>
          <m:t>F</m:t>
        </m:r>
      </m:oMath>
      <w:r>
        <w:t xml:space="preserve"> 为名义颗粒层数（名义填充高度），</w:t>
      </w:r>
      <m:oMath>
        <m:r>
          <m:rPr/>
          <w:rPr>
            <w:sz w:val="24"/>
            <w:szCs w:val="24"/>
          </w:rPr>
          <m:t>n</m:t>
        </m:r>
      </m:oMath>
      <w:r>
        <w:t xml:space="preserve"> 为颗粒总数，</w:t>
      </w:r>
      <m:oMath>
        <m:r>
          <m:rPr/>
          <w:rPr>
            <w:sz w:val="24"/>
            <w:szCs w:val="24"/>
          </w:rPr>
          <m:t>L/d</m:t>
        </m:r>
      </m:oMath>
      <w:r>
        <w:t xml:space="preserve"> 为槽底可容纳的颗粒列数；振幅与粒径之比 </w:t>
      </w:r>
      <m:oMath>
        <m:r>
          <m:rPr/>
          <w:rPr>
            <w:sz w:val="24"/>
            <w:szCs w:val="24"/>
          </w:rPr>
          <m:t>a/d</m:t>
        </m:r>
      </m:oMath>
      <w:r>
        <w:t xml:space="preserve"> 为无量纲振幅。本项目运行取粒径 </w:t>
      </w:r>
      <m:oMath>
        <m:r>
          <m:rPr/>
          <w:rPr>
            <w:sz w:val="24"/>
            <w:szCs w:val="24"/>
          </w:rPr>
          <m:t>d</m:t>
        </m:r>
      </m:oMath>
      <w:r>
        <w:t xml:space="preserve">=2 mm、槽长 </w:t>
      </w:r>
      <m:oMath>
        <m:r>
          <m:rPr/>
          <w:rPr>
            <w:sz w:val="24"/>
            <w:szCs w:val="24"/>
          </w:rPr>
          <m:t>L</m:t>
        </m:r>
      </m:oMath>
      <w:r>
        <w:t>=0.1 m（</w:t>
      </w:r>
      <m:oMath>
        <m:r>
          <m:rPr/>
          <w:rPr>
            <w:sz w:val="24"/>
            <w:szCs w:val="24"/>
          </w:rPr>
          <m:t>L/d</m:t>
        </m:r>
      </m:oMath>
      <w:r>
        <w:t xml:space="preserve">=50，完整参数表见附录B）：设计模块按 </w:t>
      </w:r>
      <m:oMath>
        <m:r>
          <m:rPr/>
          <w:rPr>
            <w:sz w:val="24"/>
            <w:szCs w:val="24"/>
          </w:rPr>
          <m:t>n=F·round(L/d)</m:t>
        </m:r>
      </m:oMath>
      <w:r>
        <w:t xml:space="preserve"> 换算名义颗粒数，</w:t>
      </w:r>
      <m:oMath>
        <m:r>
          <m:rPr/>
          <w:rPr>
            <w:sz w:val="24"/>
            <w:szCs w:val="24"/>
          </w:rPr>
          <m:t>F</m:t>
        </m:r>
      </m:oMath>
      <w:r>
        <w:t xml:space="preserve">=4/8/16 对应 200/400/800；初始化以质量目标插入颗粒并经重力沉降，沉降后实际颗粒数为 106/231/502（窄槽插入的重叠检查使部分颗粒未能落位），因此 </w:t>
      </w:r>
      <m:oMath>
        <m:r>
          <m:rPr/>
          <w:rPr>
            <w:sz w:val="24"/>
            <w:szCs w:val="24"/>
          </w:rPr>
          <m:t>F</m:t>
        </m:r>
      </m:oMath>
      <w:r>
        <w:t xml:space="preserve"> 在全文均为设计口径的名义层数，床层的实际状态以快照与时均场观测为准（4.4 节）。文献</w:t>
      </w:r>
      <w:r>
        <w:rPr>
          <w:sz w:val="18"/>
          <w:szCs w:val="18"/>
          <w:vertAlign w:val="superscript"/>
        </w:rPr>
        <w:t>[12]</w:t>
      </w:r>
      <w:r>
        <w:t>的基准参数空间中，</w:t>
      </w:r>
      <m:oMath>
        <m:r>
          <m:rPr/>
          <w:rPr>
            <w:sz w:val="24"/>
            <w:szCs w:val="24"/>
          </w:rPr>
          <m:t>Γ</m:t>
        </m:r>
      </m:oMath>
      <w:r>
        <w:t xml:space="preserve"> 取 15 个水平、</w:t>
      </w:r>
      <m:oMath>
        <m:r>
          <m:rPr/>
          <w:rPr>
            <w:sz w:val="24"/>
            <w:szCs w:val="24"/>
          </w:rPr>
          <m:t>a/d</m:t>
        </m:r>
      </m:oMath>
      <w:r>
        <w:t xml:space="preserve"> 取 9 个水平、</w:t>
      </w:r>
      <m:oMath>
        <m:r>
          <m:rPr/>
          <w:rPr>
            <w:sz w:val="24"/>
            <w:szCs w:val="24"/>
          </w:rPr>
          <m:t>F</m:t>
        </m:r>
      </m:oMath>
      <w:r>
        <w:t xml:space="preserve"> 取 5 个水平，对数间隔均为 0.5（以 2 为底），全排列共 675 工况。</w:t>
      </w:r>
    </w:p>
    <w:p w14:paraId="74F32242">
      <w:pPr>
        <w:spacing w:line="480" w:lineRule="exact"/>
        <w:ind w:firstLine="560" w:firstLineChars="200"/>
      </w:pPr>
      <w:r>
        <w:t>随着振动参数变化，体系呈现三种典型动力学相态</w:t>
      </w:r>
      <w:r>
        <w:rPr>
          <w:sz w:val="18"/>
          <w:szCs w:val="18"/>
          <w:vertAlign w:val="superscript"/>
        </w:rPr>
        <w:t>[31]</w:t>
      </w:r>
      <w:r>
        <w:t>。紧致弹跳态：振动较弱时，颗粒床保持紧致，作为整体周期性地接触与脱离底面；"Leidenfrost" 态：振动增强后，床层底部出现持续松散间隙，上部颗粒趋向紧致、下部颗粒呈类气态，床层与底板解耦</w:t>
      </w:r>
      <w:r>
        <w:rPr>
          <w:sz w:val="18"/>
          <w:szCs w:val="18"/>
          <w:vertAlign w:val="superscript"/>
        </w:rPr>
        <w:t>[36]</w:t>
      </w:r>
      <w:r>
        <w:t xml:space="preserve">；两者之间是宽阔的过渡区，整体弹跳与底部松散共存。相态转变的宏观后果是：平均动能、质心高度等响应量对 </w:t>
      </w:r>
      <m:oMath>
        <m:r>
          <m:rPr/>
          <w:rPr>
            <w:sz w:val="24"/>
            <w:szCs w:val="24"/>
          </w:rPr>
          <m:t>a/d</m:t>
        </m:r>
      </m:oMath>
      <w:r>
        <w:t>、</w:t>
      </w:r>
      <m:oMath>
        <m:r>
          <m:rPr/>
          <w:rPr>
            <w:sz w:val="24"/>
            <w:szCs w:val="24"/>
          </w:rPr>
          <m:t>Γ</m:t>
        </m:r>
      </m:oMath>
      <w:r>
        <w:t>、</w:t>
      </w:r>
      <m:oMath>
        <m:r>
          <m:rPr/>
          <w:rPr>
            <w:sz w:val="24"/>
            <w:szCs w:val="24"/>
          </w:rPr>
          <m:t>F</m:t>
        </m:r>
      </m:oMath>
      <w:r>
        <w:t xml:space="preserve"> 的依赖关系在不同参数区域遵循不同的幂律标度律。这正是智能体要自动发现的对象——不是一个公式，而是若干公式及其适用边界。</w:t>
      </w:r>
    </w:p>
    <w:p w14:paraId="156A5BD6">
      <w:pPr>
        <w:pStyle w:val="3"/>
      </w:pPr>
      <w:bookmarkStart w:id="15" w:name="_Toc20334"/>
      <w:r>
        <w:t>2.6 响应量与仿真方案</w:t>
      </w:r>
      <w:bookmarkEnd w:id="15"/>
    </w:p>
    <w:p w14:paraId="5E1918A3">
      <w:pPr>
        <w:spacing w:line="480" w:lineRule="exact"/>
        <w:ind w:firstLine="560" w:firstLineChars="200"/>
      </w:pPr>
      <w:r>
        <w:t>响应量定义如下</w:t>
      </w:r>
      <w:r>
        <w:rPr>
          <w:sz w:val="18"/>
          <w:szCs w:val="18"/>
          <w:vertAlign w:val="superscript"/>
        </w:rPr>
        <w:t>[12]</w:t>
      </w:r>
      <w:r>
        <w:t xml:space="preserve">：体系平均动能 </w:t>
      </w:r>
      <m:oMath>
        <m:sSubSup>
          <m:sSubSupPr/>
          <m:e>
            <m:r>
              <m:rPr/>
              <w:rPr>
                <w:sz w:val="24"/>
                <w:szCs w:val="24"/>
              </w:rPr>
              <m:t>e</m:t>
            </m:r>
          </m:e>
          <m:sub>
            <m:r>
              <m:rPr/>
              <w:rPr>
                <w:sz w:val="24"/>
                <w:szCs w:val="24"/>
              </w:rPr>
              <m:t>k</m:t>
            </m:r>
          </m:sub>
          <m:sup>
            <m:r>
              <m:rPr/>
              <w:rPr>
                <w:sz w:val="24"/>
                <w:szCs w:val="24"/>
              </w:rPr>
              <m:t>∗</m:t>
            </m:r>
          </m:sup>
        </m:sSubSup>
        <m:r>
          <m:rPr/>
          <w:rPr>
            <w:sz w:val="24"/>
            <w:szCs w:val="24"/>
          </w:rPr>
          <m:t xml:space="preserve"> = ⟨|U|²⟩/(2g·d)</m:t>
        </m:r>
      </m:oMath>
      <w:r>
        <w:t xml:space="preserve">，即颗粒速度幅值平方的均值以 </w:t>
      </w:r>
      <m:oMath>
        <m:r>
          <m:rPr/>
          <w:rPr>
            <w:sz w:val="24"/>
            <w:szCs w:val="24"/>
          </w:rPr>
          <m:t>g·d</m:t>
        </m:r>
      </m:oMath>
      <w:r>
        <w:t xml:space="preserve"> 无量纲化；纵向颗粒温度 </w:t>
      </w:r>
      <m:oMath>
        <m:sSubSup>
          <m:sSubSupPr/>
          <m:e>
            <m:r>
              <m:rPr/>
              <w:rPr>
                <w:sz w:val="24"/>
                <w:szCs w:val="24"/>
              </w:rPr>
              <m:t>T</m:t>
            </m:r>
          </m:e>
          <m:sub>
            <m:r>
              <m:rPr/>
              <w:rPr>
                <w:sz w:val="24"/>
                <w:szCs w:val="24"/>
              </w:rPr>
              <m:t>y</m:t>
            </m:r>
          </m:sub>
          <m:sup>
            <m:r>
              <m:rPr/>
              <w:rPr>
                <w:sz w:val="24"/>
                <w:szCs w:val="24"/>
              </w:rPr>
              <m:t>∗</m:t>
            </m:r>
          </m:sup>
        </m:sSubSup>
        <m:sSub>
          <m:sSubPr/>
          <m:e>
            <m:r>
              <m:rPr/>
              <w:rPr>
                <w:sz w:val="24"/>
                <w:szCs w:val="24"/>
              </w:rPr>
              <m:t xml:space="preserve"> = ⟨(U</m:t>
            </m:r>
          </m:e>
          <m:sub>
            <m:r>
              <m:rPr/>
              <w:rPr>
                <w:sz w:val="24"/>
                <w:szCs w:val="24"/>
              </w:rPr>
              <m:t>y</m:t>
            </m:r>
          </m:sub>
        </m:sSub>
        <m:sSub>
          <m:sSubPr/>
          <m:e>
            <m:r>
              <m:rPr/>
              <w:rPr>
                <w:sz w:val="24"/>
                <w:szCs w:val="24"/>
              </w:rPr>
              <m:t>−Ū</m:t>
            </m:r>
          </m:e>
          <m:sub>
            <m:r>
              <m:rPr/>
              <w:rPr>
                <w:sz w:val="24"/>
                <w:szCs w:val="24"/>
              </w:rPr>
              <m:t>y</m:t>
            </m:r>
          </m:sub>
        </m:sSub>
        <m:r>
          <m:rPr/>
          <w:rPr>
            <w:sz w:val="24"/>
            <w:szCs w:val="24"/>
          </w:rPr>
          <m:t>)²⟩/(d·g)</m:t>
        </m:r>
      </m:oMath>
      <w:r>
        <w:t xml:space="preserve">（颗粒温度表征颗粒脉动运动的剧烈程度），即 2d 网格胞元（边长两个颗粒直径的统计胞元）内竖向脉动速度方差的长时间统计无量纲化；质心高度 </w:t>
      </w:r>
      <m:oMath>
        <m:sSubSup>
          <m:sSubSupPr/>
          <m:e>
            <m:r>
              <m:rPr/>
              <w:rPr>
                <w:sz w:val="24"/>
                <w:szCs w:val="24"/>
              </w:rPr>
              <m:t>h</m:t>
            </m:r>
          </m:e>
          <m:sub>
            <m:r>
              <m:rPr/>
              <w:rPr>
                <w:sz w:val="24"/>
                <w:szCs w:val="24"/>
              </w:rPr>
              <m:t>m</m:t>
            </m:r>
          </m:sub>
          <m:sup>
            <m:r>
              <m:rPr/>
              <w:rPr>
                <w:sz w:val="24"/>
                <w:szCs w:val="24"/>
              </w:rPr>
              <m:t>∗</m:t>
            </m:r>
          </m:sup>
        </m:sSubSup>
        <m:sSub>
          <m:sSubPr/>
          <m:e>
            <m:r>
              <m:rPr/>
              <w:rPr>
                <w:sz w:val="24"/>
                <w:szCs w:val="24"/>
              </w:rPr>
              <m:t xml:space="preserve"> = h</m:t>
            </m:r>
          </m:e>
          <m:sub>
            <m:r>
              <m:rPr/>
              <w:rPr>
                <w:sz w:val="24"/>
                <w:szCs w:val="24"/>
              </w:rPr>
              <m:t>m</m:t>
            </m:r>
          </m:sub>
        </m:sSub>
        <m:r>
          <m:rPr/>
          <w:rPr>
            <w:sz w:val="24"/>
            <w:szCs w:val="24"/>
          </w:rPr>
          <m:t>/d</m:t>
        </m:r>
      </m:oMath>
      <w:r>
        <w:t xml:space="preserve">，即床层质心高度与粒径之比。在此基础之上，本系统扩展了第四个响应量 </w:t>
      </w:r>
      <m:oMath>
        <m:sSubSup>
          <m:sSubSupPr/>
          <m:e>
            <m:r>
              <m:rPr/>
              <w:rPr>
                <w:sz w:val="24"/>
                <w:szCs w:val="24"/>
              </w:rPr>
              <m:t>e</m:t>
            </m:r>
          </m:e>
          <m:sub>
            <m:r>
              <m:rPr/>
              <w:rPr>
                <w:sz w:val="24"/>
                <w:szCs w:val="24"/>
              </w:rPr>
              <m:t>p</m:t>
            </m:r>
          </m:sub>
          <m:sup>
            <m:r>
              <m:rPr/>
              <w:rPr>
                <w:sz w:val="24"/>
                <w:szCs w:val="24"/>
              </w:rPr>
              <m:t>∗</m:t>
            </m:r>
          </m:sup>
        </m:sSubSup>
      </m:oMath>
      <w:r>
        <w:t>（平均离底高度与粒径之比），作为床层势能与位形状态的代理量。文献</w:t>
      </w:r>
      <w:r>
        <w:rPr>
          <w:sz w:val="18"/>
          <w:szCs w:val="18"/>
          <w:vertAlign w:val="superscript"/>
        </w:rPr>
        <w:t>[12]</w:t>
      </w:r>
      <w:r>
        <w:t>未定义该响应量，扩展的目的是使智能体能够同时刻画能量输入、动能与位形之间的转化关系（见 4.3 节）。</w:t>
      </w:r>
    </w:p>
    <w:p w14:paraId="1D6F4A90">
      <w:pPr>
        <w:spacing w:line="480" w:lineRule="exact"/>
        <w:ind w:firstLine="560" w:firstLineChars="200"/>
      </w:pPr>
      <w:r>
        <w:t>四个响应量的精确口径如下（与仿真服务后处理模块的实现一致，主要符号汇总见附录B.5）。</w:t>
      </w:r>
      <m:oMath>
        <m:sSubSup>
          <m:sSubSupPr/>
          <m:e>
            <m:r>
              <m:rPr/>
              <w:rPr>
                <w:sz w:val="24"/>
                <w:szCs w:val="24"/>
              </w:rPr>
              <m:t>e</m:t>
            </m:r>
          </m:e>
          <m:sub>
            <m:r>
              <m:rPr/>
              <w:rPr>
                <w:sz w:val="24"/>
                <w:szCs w:val="24"/>
              </w:rPr>
              <m:t>k</m:t>
            </m:r>
          </m:sub>
          <m:sup>
            <m:r>
              <m:rPr/>
              <w:rPr>
                <w:sz w:val="24"/>
                <w:szCs w:val="24"/>
              </w:rPr>
              <m:t>∗</m:t>
            </m:r>
          </m:sup>
        </m:sSubSup>
      </m:oMath>
      <w:r>
        <w:t xml:space="preserve">：统计段内逐帧对全体颗粒取 </w:t>
      </w:r>
      <m:oMath>
        <m:sSup>
          <m:sSupPr/>
          <m:e>
            <m:r>
              <m:rPr/>
              <w:rPr>
                <w:sz w:val="24"/>
                <w:szCs w:val="24"/>
              </w:rPr>
              <m:t>⟨v</m:t>
            </m:r>
          </m:e>
          <m:sup>
            <m:r>
              <m:rPr/>
              <w:rPr>
                <w:sz w:val="24"/>
                <w:szCs w:val="24"/>
              </w:rPr>
              <m:t>2</m:t>
            </m:r>
          </m:sup>
        </m:sSup>
        <m:r>
          <m:rPr/>
          <w:rPr>
            <w:sz w:val="24"/>
            <w:szCs w:val="24"/>
          </w:rPr>
          <m:t>⟩/2</m:t>
        </m:r>
      </m:oMath>
      <w:r>
        <w:t xml:space="preserve">（含三个速度分量），再对帧做时间平均后除以 </w:t>
      </w:r>
      <m:oMath>
        <m:r>
          <m:rPr/>
          <w:rPr>
            <w:sz w:val="24"/>
            <w:szCs w:val="24"/>
          </w:rPr>
          <m:t>g·d</m:t>
        </m:r>
      </m:oMath>
      <w:r>
        <w:t>。</w:t>
      </w:r>
      <m:oMath>
        <m:sSubSup>
          <m:sSubSupPr/>
          <m:e>
            <m:r>
              <m:rPr/>
              <w:rPr>
                <w:sz w:val="24"/>
                <w:szCs w:val="24"/>
              </w:rPr>
              <m:t>e</m:t>
            </m:r>
          </m:e>
          <m:sub>
            <m:r>
              <m:rPr/>
              <w:rPr>
                <w:sz w:val="24"/>
                <w:szCs w:val="24"/>
              </w:rPr>
              <m:t>p</m:t>
            </m:r>
          </m:sub>
          <m:sup>
            <m:r>
              <m:rPr/>
              <w:rPr>
                <w:sz w:val="24"/>
                <w:szCs w:val="24"/>
              </w:rPr>
              <m:t>∗</m:t>
            </m:r>
          </m:sup>
        </m:sSubSup>
      </m:oMath>
      <w:r>
        <w:t xml:space="preserve">：统计段内逐帧对全体颗粒取"颗粒高度减去该帧最低颗粒高度"的均值，再对帧做时间平均后除以 </w:t>
      </w:r>
      <m:oMath>
        <m:r>
          <m:rPr/>
          <w:rPr>
            <w:sz w:val="24"/>
            <w:szCs w:val="24"/>
          </w:rPr>
          <m:t>d</m:t>
        </m:r>
      </m:oMath>
      <w:r>
        <w:t>——参考点为逐帧移动的最低颗粒位置，因而扣除床层整体起落的平移、只描述内部抬升位形。</w:t>
      </w:r>
      <m:oMath>
        <m:sSubSup>
          <m:sSubSupPr/>
          <m:e>
            <m:r>
              <m:rPr/>
              <w:rPr>
                <w:sz w:val="24"/>
                <w:szCs w:val="24"/>
              </w:rPr>
              <m:t>h</m:t>
            </m:r>
          </m:e>
          <m:sub>
            <m:r>
              <m:rPr/>
              <w:rPr>
                <w:sz w:val="24"/>
                <w:szCs w:val="24"/>
              </w:rPr>
              <m:t>m</m:t>
            </m:r>
          </m:sub>
          <m:sup>
            <m:r>
              <m:rPr/>
              <w:rPr>
                <w:sz w:val="24"/>
                <w:szCs w:val="24"/>
              </w:rPr>
              <m:t>∗</m:t>
            </m:r>
          </m:sup>
        </m:sSubSup>
      </m:oMath>
      <w:r>
        <w:t xml:space="preserve">：以固定参考（该工况全帧最低颗粒位置）按颗粒数加权的质心高度除以 </w:t>
      </w:r>
      <m:oMath>
        <m:r>
          <m:rPr/>
          <w:rPr>
            <w:sz w:val="24"/>
            <w:szCs w:val="24"/>
          </w:rPr>
          <m:t>d</m:t>
        </m:r>
      </m:oMath>
      <w:r>
        <w:t xml:space="preserve">，包含整体平移。因此 </w:t>
      </w:r>
      <m:oMath>
        <m:sSubSup>
          <m:sSubSupPr/>
          <m:e>
            <m:r>
              <m:rPr/>
              <w:rPr>
                <w:sz w:val="24"/>
                <w:szCs w:val="24"/>
              </w:rPr>
              <m:t>e</m:t>
            </m:r>
          </m:e>
          <m:sub>
            <m:r>
              <m:rPr/>
              <w:rPr>
                <w:sz w:val="24"/>
                <w:szCs w:val="24"/>
              </w:rPr>
              <m:t>p</m:t>
            </m:r>
          </m:sub>
          <m:sup>
            <m:r>
              <m:rPr/>
              <w:rPr>
                <w:sz w:val="24"/>
                <w:szCs w:val="24"/>
              </w:rPr>
              <m:t>∗</m:t>
            </m:r>
          </m:sup>
        </m:sSubSup>
      </m:oMath>
      <w:r>
        <w:t xml:space="preserve"> 与 </w:t>
      </w:r>
      <m:oMath>
        <m:sSubSup>
          <m:sSubSupPr/>
          <m:e>
            <m:r>
              <m:rPr/>
              <w:rPr>
                <w:sz w:val="24"/>
                <w:szCs w:val="24"/>
              </w:rPr>
              <m:t>h</m:t>
            </m:r>
          </m:e>
          <m:sub>
            <m:r>
              <m:rPr/>
              <w:rPr>
                <w:sz w:val="24"/>
                <w:szCs w:val="24"/>
              </w:rPr>
              <m:t>m</m:t>
            </m:r>
          </m:sub>
          <m:sup>
            <m:r>
              <m:rPr/>
              <w:rPr>
                <w:sz w:val="24"/>
                <w:szCs w:val="24"/>
              </w:rPr>
              <m:t>∗</m:t>
            </m:r>
          </m:sup>
        </m:sSubSup>
      </m:oMath>
      <w:r>
        <w:t xml:space="preserve"> 的参考点与物理含义均不同，不是同一量的两种记法。能量分配比 </w:t>
      </w:r>
      <m:oMath>
        <m:sSubSup>
          <m:sSubSupPr/>
          <m:e>
            <m:r>
              <m:rPr/>
              <w:rPr>
                <w:sz w:val="24"/>
                <w:szCs w:val="24"/>
              </w:rPr>
              <m:t>R = e</m:t>
            </m:r>
          </m:e>
          <m:sub>
            <m:r>
              <m:rPr/>
              <w:rPr>
                <w:sz w:val="24"/>
                <w:szCs w:val="24"/>
              </w:rPr>
              <m:t>p</m:t>
            </m:r>
          </m:sub>
          <m:sup>
            <m:r>
              <m:rPr/>
              <w:rPr>
                <w:sz w:val="24"/>
                <w:szCs w:val="24"/>
              </w:rPr>
              <m:t>∗</m:t>
            </m:r>
          </m:sup>
        </m:sSubSup>
        <m:sSubSup>
          <m:sSubSupPr/>
          <m:e>
            <m:r>
              <m:rPr/>
              <w:rPr>
                <w:sz w:val="24"/>
                <w:szCs w:val="24"/>
              </w:rPr>
              <m:t>/(e</m:t>
            </m:r>
          </m:e>
          <m:sub>
            <m:r>
              <m:rPr/>
              <w:rPr>
                <w:sz w:val="24"/>
                <w:szCs w:val="24"/>
              </w:rPr>
              <m:t>k</m:t>
            </m:r>
          </m:sub>
          <m:sup>
            <m:r>
              <m:rPr/>
              <w:rPr>
                <w:sz w:val="24"/>
                <w:szCs w:val="24"/>
              </w:rPr>
              <m:t>∗</m:t>
            </m:r>
          </m:sup>
        </m:sSubSup>
        <m:sSubSup>
          <m:sSubSupPr/>
          <m:e>
            <m:r>
              <m:rPr/>
              <w:rPr>
                <w:sz w:val="24"/>
                <w:szCs w:val="24"/>
              </w:rPr>
              <m:t>+e</m:t>
            </m:r>
          </m:e>
          <m:sub>
            <m:r>
              <m:rPr/>
              <w:rPr>
                <w:sz w:val="24"/>
                <w:szCs w:val="24"/>
              </w:rPr>
              <m:t>p</m:t>
            </m:r>
          </m:sub>
          <m:sup>
            <m:r>
              <m:rPr/>
              <w:rPr>
                <w:sz w:val="24"/>
                <w:szCs w:val="24"/>
              </w:rPr>
              <m:t>∗</m:t>
            </m:r>
          </m:sup>
        </m:sSubSup>
        <m:r>
          <m:rPr/>
          <w:rPr>
            <w:sz w:val="24"/>
            <w:szCs w:val="24"/>
          </w:rPr>
          <m:t>)</m:t>
        </m:r>
      </m:oMath>
      <w:r>
        <w:t xml:space="preserve"> 是上述两个已定义无量纲量之比：分子不是相对固定零势能面的重力势能，分母不含转动动能与接触储能，</w:t>
      </w:r>
      <m:oMath>
        <m:r>
          <m:rPr/>
          <w:rPr>
            <w:sz w:val="24"/>
            <w:szCs w:val="24"/>
          </w:rPr>
          <m:t>R</m:t>
        </m:r>
      </m:oMath>
      <w:r>
        <w:t xml:space="preserve"> 因而不代表系统总能量中的势能占比；</w:t>
      </w:r>
      <m:oMath>
        <m:r>
          <m:rPr/>
          <w:rPr>
            <w:sz w:val="24"/>
            <w:szCs w:val="24"/>
          </w:rPr>
          <m:t>R≈0.6</m:t>
        </m:r>
      </m:oMath>
      <w:r>
        <w:t xml:space="preserve"> 对应 </w:t>
      </w:r>
      <m:oMath>
        <m:sSubSup>
          <m:sSubSupPr/>
          <m:e>
            <m:r>
              <m:rPr/>
              <w:rPr>
                <w:sz w:val="24"/>
                <w:szCs w:val="24"/>
              </w:rPr>
              <m:t>e</m:t>
            </m:r>
          </m:e>
          <m:sub>
            <m:r>
              <m:rPr/>
              <w:rPr>
                <w:sz w:val="24"/>
                <w:szCs w:val="24"/>
              </w:rPr>
              <m:t>p</m:t>
            </m:r>
          </m:sub>
          <m:sup>
            <m:r>
              <m:rPr/>
              <w:rPr>
                <w:sz w:val="24"/>
                <w:szCs w:val="24"/>
              </w:rPr>
              <m:t>∗</m:t>
            </m:r>
          </m:sup>
        </m:sSubSup>
        <m:sSubSup>
          <m:sSubSupPr/>
          <m:e>
            <m:r>
              <m:rPr/>
              <w:rPr>
                <w:sz w:val="24"/>
                <w:szCs w:val="24"/>
              </w:rPr>
              <m:t>/e</m:t>
            </m:r>
          </m:e>
          <m:sub>
            <m:r>
              <m:rPr/>
              <w:rPr>
                <w:sz w:val="24"/>
                <w:szCs w:val="24"/>
              </w:rPr>
              <m:t>k</m:t>
            </m:r>
          </m:sub>
          <m:sup>
            <m:r>
              <m:rPr/>
              <w:rPr>
                <w:sz w:val="24"/>
                <w:szCs w:val="24"/>
              </w:rPr>
              <m:t>∗</m:t>
            </m:r>
          </m:sup>
        </m:sSubSup>
        <m:r>
          <m:rPr/>
          <w:rPr>
            <w:sz w:val="24"/>
            <w:szCs w:val="24"/>
          </w:rPr>
          <m:t>≈1.5</m:t>
        </m:r>
      </m:oMath>
      <w:r>
        <w:t>，即两类量同量级。</w:t>
      </w:r>
    </w:p>
    <w:p w14:paraId="300D33CB">
      <w:pPr>
        <w:spacing w:line="480" w:lineRule="exact"/>
        <w:ind w:firstLine="560" w:firstLineChars="200"/>
      </w:pPr>
      <w:r>
        <w:t>仿真方案分两档。基准方案：发展段 200 个振动周期、统计段 50 个周期，与文献</w:t>
      </w:r>
      <w:r>
        <w:rPr>
          <w:sz w:val="18"/>
          <w:szCs w:val="18"/>
          <w:vertAlign w:val="superscript"/>
        </w:rPr>
        <w:t>[12]</w:t>
      </w:r>
      <w:r>
        <w:t xml:space="preserve">一致。快速方案（系统默认）：发展段 20 周期、统计段 8 周期，时长约为基准方案的九分之一，用于趋势与结构的快速发现。两档方案均以每 1/8 振动周期一帧的采样率采集颗粒信息；时间步取 </w:t>
      </w:r>
      <m:oMath>
        <m:sSup>
          <m:sSupPr/>
          <m:e>
            <m:r>
              <m:rPr/>
              <w:rPr>
                <w:sz w:val="24"/>
                <w:szCs w:val="24"/>
              </w:rPr>
              <m:t>1×10</m:t>
            </m:r>
          </m:e>
          <m:sup>
            <m:r>
              <m:rPr/>
              <w:rPr>
                <w:sz w:val="24"/>
                <w:szCs w:val="24"/>
              </w:rPr>
              <m:t>−5</m:t>
            </m:r>
          </m:sup>
        </m:sSup>
      </m:oMath>
      <w:r>
        <w:t xml:space="preserve"> s，满足特征碰撞时间准则 </w:t>
      </w:r>
      <m:oMath>
        <m:sSub>
          <m:sSubPr/>
          <m:e>
            <m:r>
              <m:rPr/>
              <w:rPr>
                <w:sz w:val="24"/>
                <w:szCs w:val="24"/>
              </w:rPr>
              <m:t>Δt &lt; t</m:t>
            </m:r>
          </m:e>
          <m:sub>
            <m:r>
              <m:rPr/>
              <w:rPr>
                <w:sz w:val="24"/>
                <w:szCs w:val="24"/>
              </w:rPr>
              <m:t>c</m:t>
            </m:r>
          </m:sub>
        </m:sSub>
        <m:r>
          <m:rPr/>
          <w:rPr>
            <w:sz w:val="24"/>
            <w:szCs w:val="24"/>
          </w:rPr>
          <m:t>/10</m:t>
        </m:r>
      </m:oMath>
      <w:r>
        <w:t xml:space="preserve">（即小于由颗粒密度、弹性模量与直径确定的特征碰撞时间 </w:t>
      </w:r>
      <m:oMath>
        <m:sSub>
          <m:sSubPr/>
          <m:e>
            <m:r>
              <m:rPr/>
              <w:rPr>
                <w:sz w:val="24"/>
                <w:szCs w:val="24"/>
              </w:rPr>
              <m:t>t</m:t>
            </m:r>
          </m:e>
          <m:sub>
            <m:r>
              <m:rPr/>
              <w:rPr>
                <w:sz w:val="24"/>
                <w:szCs w:val="24"/>
              </w:rPr>
              <m:t>c</m:t>
            </m:r>
          </m:sub>
        </m:sSub>
      </m:oMath>
      <w:r>
        <w:t xml:space="preserve"> 的 1/10</w:t>
      </w:r>
      <w:r>
        <w:rPr>
          <w:sz w:val="18"/>
          <w:szCs w:val="18"/>
          <w:vertAlign w:val="superscript"/>
        </w:rPr>
        <w:t>[12]</w:t>
      </w:r>
      <w:r>
        <w:t>）。第 4 章的结果均基于快速方案，其精度边界在 7.2 节讨论。</w:t>
      </w:r>
    </w:p>
    <w:p w14:paraId="7BED17A7">
      <w:pPr>
        <w:pStyle w:val="3"/>
      </w:pPr>
      <w:bookmarkStart w:id="16" w:name="_Toc882"/>
      <w:r>
        <w:t>2.7 数据驱动量纲分析与自动分区</w:t>
      </w:r>
      <w:bookmarkEnd w:id="16"/>
    </w:p>
    <w:p w14:paraId="5AA66E11">
      <w:pPr>
        <w:spacing w:line="480" w:lineRule="exact"/>
        <w:ind w:firstLine="560" w:firstLineChars="200"/>
      </w:pPr>
      <w:r>
        <w:t>数据驱动量纲分析从数值属性与量纲属性的双重信息中提炼规律，其方法谱系可上溯至主动子空间与数据驱动量纲分析工作</w:t>
      </w:r>
      <w:r>
        <w:rPr>
          <w:sz w:val="18"/>
          <w:szCs w:val="18"/>
          <w:vertAlign w:val="superscript"/>
        </w:rPr>
        <w:t>[5,6]</w:t>
      </w:r>
      <w:r>
        <w:t>，流程为五个环节</w:t>
      </w:r>
      <w:r>
        <w:rPr>
          <w:sz w:val="18"/>
          <w:szCs w:val="18"/>
          <w:vertAlign w:val="superscript"/>
        </w:rPr>
        <w:t>[11]</w:t>
      </w:r>
      <w:r>
        <w:t>。</w:t>
      </w:r>
    </w:p>
    <w:p w14:paraId="2939415A">
      <w:pPr>
        <w:spacing w:line="480" w:lineRule="exact"/>
        <w:ind w:firstLine="560" w:firstLineChars="200"/>
      </w:pPr>
      <w:r>
        <w:t>（1）光滑偏导数：在实验设计点上，以自适应加权的局部线性拟合估计响应量对各无量纲自变量的偏导数场，刻画哪些变量在何处重要。</w:t>
      </w:r>
    </w:p>
    <w:p w14:paraId="22A3C9B5">
      <w:pPr>
        <w:spacing w:line="480" w:lineRule="exact"/>
        <w:ind w:firstLine="560" w:firstLineChars="200"/>
      </w:pPr>
      <w:r>
        <w:t>（2）自动分区：减法聚类</w:t>
      </w:r>
      <w:r>
        <w:rPr>
          <w:sz w:val="18"/>
          <w:szCs w:val="18"/>
          <w:vertAlign w:val="superscript"/>
        </w:rPr>
        <w:t>[33]</w:t>
      </w:r>
      <w:r>
        <w:t>在归一化偏导数特征空间中按接受—拒绝准则自动确定子域数目与初始中心；FCM 聚类</w:t>
      </w:r>
      <w:r>
        <w:rPr>
          <w:sz w:val="18"/>
          <w:szCs w:val="18"/>
          <w:vertAlign w:val="superscript"/>
        </w:rPr>
        <w:t>[34]</w:t>
      </w:r>
      <w:r>
        <w:t>细化隶属度（隶属度表示样本属于各簇的程度，取 0–1）；隶属度低于阈值 0.6 的点作为模糊点剔除——分区不是硬切割，而是承认相态边界附近存在本征模糊性。</w:t>
      </w:r>
    </w:p>
    <w:p w14:paraId="26EE5258">
      <w:pPr>
        <w:spacing w:line="480" w:lineRule="exact"/>
        <w:ind w:firstLine="560" w:firstLineChars="200"/>
      </w:pPr>
      <w:r>
        <w:t>（3）特征分解：各子域对局部偏导数结构做特征分解，提取唯一的主导无量纲组合，并度量各无量纲量的相对重要程度。</w:t>
      </w:r>
    </w:p>
    <w:p w14:paraId="042C5B45">
      <w:pPr>
        <w:spacing w:line="480" w:lineRule="exact"/>
        <w:ind w:firstLine="560" w:firstLineChars="200"/>
      </w:pPr>
      <w:r>
        <w:t xml:space="preserve">（4）幂律拟合：带边界约束的拟合配合指数扫描回退机制，输出各子域的幂律公式、拟合优度与子域误差 </w:t>
      </w:r>
      <m:oMath>
        <m:sSub>
          <m:sSubPr/>
          <m:e>
            <m:r>
              <m:rPr/>
              <w:rPr>
                <w:sz w:val="24"/>
                <w:szCs w:val="24"/>
              </w:rPr>
              <m:t>δ</m:t>
            </m:r>
          </m:e>
          <m:sub>
            <m:r>
              <m:rPr/>
              <w:rPr>
                <w:sz w:val="24"/>
                <w:szCs w:val="24"/>
              </w:rPr>
              <m:t>k</m:t>
            </m:r>
          </m:sub>
        </m:sSub>
      </m:oMath>
      <w:r>
        <w:t>。</w:t>
      </w:r>
    </w:p>
    <w:p w14:paraId="40913058">
      <w:pPr>
        <w:spacing w:line="480" w:lineRule="exact"/>
        <w:ind w:firstLine="560" w:firstLineChars="200"/>
      </w:pPr>
      <w:r>
        <w:t>（5）综合评价：以样本数加权的全空间综合误差度量整体拟合质量，</w:t>
      </w:r>
    </w:p>
    <w:p w14:paraId="42DE17E9">
      <w:pPr>
        <w:tabs>
          <w:tab w:val="center" w:pos="4139"/>
          <w:tab w:val="right" w:pos="8278"/>
        </w:tabs>
        <w:spacing w:line="560" w:lineRule="atLeast"/>
      </w:pPr>
      <w:r>
        <w:tab/>
      </w:r>
      <m:oMath>
        <m:sSup>
          <m:sSupPr/>
          <m:e>
            <m:r>
              <m:rPr/>
              <m:t>δ</m:t>
            </m:r>
          </m:e>
          <m:sup>
            <m:r>
              <m:rPr/>
              <m:t>∗</m:t>
            </m:r>
          </m:sup>
        </m:sSup>
        <m:r>
          <m:rPr/>
          <m:t xml:space="preserve"> = </m:t>
        </m:r>
        <m:f>
          <m:fPr/>
          <m:num>
            <m:nary>
              <m:naryPr>
                <m:chr m:val="∑"/>
                <m:supHide m:val="1"/>
              </m:naryPr>
              <m:sub>
                <m:r>
                  <m:rPr/>
                  <m:t>_</m:t>
                </m:r>
              </m:sub>
              <m:sup/>
              <m:e>
                <m:r>
                  <m:rPr/>
                  <m:t>k</m:t>
                </m:r>
              </m:e>
            </m:nary>
            <m:d>
              <m:dPr>
                <m:begChr m:val=""/>
                <m:endChr m:val=""/>
              </m:dPr>
              <m:e>
                <m:sSub>
                  <m:sSubPr/>
                  <m:e>
                    <m:r>
                      <m:rPr/>
                      <m:t>δ</m:t>
                    </m:r>
                  </m:e>
                  <m:sub>
                    <m:r>
                      <m:rPr/>
                      <m:t>k</m:t>
                    </m:r>
                  </m:sub>
                </m:sSub>
                <m:sSub>
                  <m:sSubPr/>
                  <m:e>
                    <m:r>
                      <m:rPr/>
                      <m:t>·s</m:t>
                    </m:r>
                  </m:e>
                  <m:sub>
                    <m:r>
                      <m:rPr/>
                      <m:t>k</m:t>
                    </m:r>
                  </m:sub>
                </m:sSub>
              </m:e>
            </m:d>
          </m:num>
          <m:den>
            <m:nary>
              <m:naryPr>
                <m:chr m:val="∑"/>
                <m:supHide m:val="1"/>
              </m:naryPr>
              <m:sub>
                <m:r>
                  <m:rPr/>
                  <m:t>_</m:t>
                </m:r>
              </m:sub>
              <m:sup/>
              <m:e>
                <m:r>
                  <m:rPr/>
                  <m:t>k</m:t>
                </m:r>
              </m:e>
            </m:nary>
            <m:sSub>
              <m:sSubPr/>
              <m:e>
                <m:r>
                  <m:rPr/>
                  <m:t>s</m:t>
                </m:r>
              </m:e>
              <m:sub>
                <m:r>
                  <m:rPr/>
                  <m:t>k</m:t>
                </m:r>
              </m:sub>
            </m:sSub>
          </m:den>
        </m:f>
      </m:oMath>
      <w:r>
        <w:tab/>
      </w:r>
      <w:r>
        <w:t>(4)</w:t>
      </w:r>
    </w:p>
    <w:p w14:paraId="36466CB9">
      <w:pPr>
        <w:spacing w:line="480" w:lineRule="exact"/>
        <w:ind w:firstLine="560" w:firstLineChars="200"/>
      </w:pPr>
      <w:r>
        <w:t xml:space="preserve">其中 </w:t>
      </w:r>
      <m:oMath>
        <m:sSub>
          <m:sSubPr/>
          <m:e>
            <m:r>
              <m:rPr/>
              <w:rPr>
                <w:sz w:val="24"/>
                <w:szCs w:val="24"/>
              </w:rPr>
              <m:t>s</m:t>
            </m:r>
          </m:e>
          <m:sub>
            <m:r>
              <m:rPr/>
              <w:rPr>
                <w:sz w:val="24"/>
                <w:szCs w:val="24"/>
              </w:rPr>
              <m:t>k</m:t>
            </m:r>
          </m:sub>
        </m:sSub>
      </m:oMath>
      <w:r>
        <w:t xml:space="preserve"> 为第 </w:t>
      </w:r>
      <m:oMath>
        <m:r>
          <m:rPr/>
          <w:rPr>
            <w:sz w:val="24"/>
            <w:szCs w:val="24"/>
          </w:rPr>
          <m:t>k</m:t>
        </m:r>
      </m:oMath>
      <w:r>
        <w:t xml:space="preserve"> 个子域的样本数。</w:t>
      </w:r>
    </w:p>
    <w:p w14:paraId="2EBFC93E">
      <w:pPr>
        <w:spacing w:line="480" w:lineRule="exact"/>
        <w:ind w:firstLine="560" w:firstLineChars="200"/>
      </w:pPr>
      <w:r>
        <w:t>分区机制的价值可由对照实验直接看出：文献</w:t>
      </w:r>
      <w:r>
        <w:rPr>
          <w:sz w:val="18"/>
          <w:szCs w:val="18"/>
          <w:vertAlign w:val="superscript"/>
        </w:rPr>
        <w:t>[12]</w:t>
      </w:r>
      <w:r>
        <w:t xml:space="preserve">的 675 工况数据不做分区、全域直接拟合时 </w:t>
      </w:r>
      <m:oMath>
        <m:sSup>
          <m:sSupPr/>
          <m:e>
            <m:r>
              <m:rPr/>
              <w:rPr>
                <w:sz w:val="24"/>
                <w:szCs w:val="24"/>
              </w:rPr>
              <m:t>δ</m:t>
            </m:r>
          </m:e>
          <m:sup>
            <m:r>
              <m:rPr/>
              <w:rPr>
                <w:sz w:val="24"/>
                <w:szCs w:val="24"/>
              </w:rPr>
              <m:t>∗</m:t>
            </m:r>
          </m:sup>
        </m:sSup>
      </m:oMath>
      <w:r>
        <w:t xml:space="preserve"> 为 27.06%，自动分区后降至 13.86%</w:t>
      </w:r>
      <w:r>
        <w:rPr>
          <w:sz w:val="18"/>
          <w:szCs w:val="18"/>
          <w:vertAlign w:val="superscript"/>
        </w:rPr>
        <w:t>[11]</w:t>
      </w:r>
      <w:r>
        <w:t>。对规律分区变化的体系，分区是前提。本系统的规律发现服务完整实现了上述流程，第 5 章以受控消融进一步量化分区相对单域拟合的收益与分辨率—精度权衡。</w:t>
      </w:r>
    </w:p>
    <w:p w14:paraId="0CA4B472">
      <w:pPr>
        <w:pStyle w:val="3"/>
      </w:pPr>
      <w:bookmarkStart w:id="17" w:name="_Toc1373"/>
      <w:r>
        <w:t>2.8 结果验证与论文产出</w:t>
      </w:r>
      <w:bookmarkEnd w:id="17"/>
    </w:p>
    <w:p w14:paraId="0C4AD4B9">
      <w:pPr>
        <w:spacing w:line="480" w:lineRule="exact"/>
        <w:ind w:firstLine="560" w:firstLineChars="200"/>
      </w:pPr>
      <w:r>
        <w:t>智能体的最终产出是一份学术论文（附汇报幻灯片与行为报告），其质量由独立审稿门把关。审稿门在论文提交时触发，最多两轮，由三层机制构成。</w:t>
      </w:r>
    </w:p>
    <w:p w14:paraId="662037D4">
      <w:pPr>
        <w:spacing w:line="480" w:lineRule="exact"/>
        <w:ind w:firstLine="562" w:firstLineChars="200"/>
      </w:pPr>
      <w:r>
        <w:rPr>
          <w:b/>
        </w:rPr>
        <w:t>第一层：数值审计（确定性程序）。</w:t>
      </w:r>
      <w:r>
        <w:t>提取论文中出现的全部小数数值，逐个比对工具调用记录：每个数值必须能在某个工具返回结果中找到出处（容差覆盖四舍五入与百分数换算）。无出处的数值直接判为严重问题。这一层不依赖任何语言模型，是对"数字必须来自计算而非生成"的机械化执行。</w:t>
      </w:r>
    </w:p>
    <w:p w14:paraId="49201812">
      <w:pPr>
        <w:spacing w:line="480" w:lineRule="exact"/>
        <w:ind w:firstLine="562" w:firstLineChars="200"/>
      </w:pPr>
      <w:r>
        <w:rPr>
          <w:b/>
        </w:rPr>
        <w:t>第二层：视觉图审计（视觉模型）。</w:t>
      </w:r>
      <w:r>
        <w:t>对论文中每张图执行四项检查：图是否为空、数据量级与图注声称是否相符、图例与色标是否完备、有无乱码叠字。空图硬性拒收；视觉服务故障不阻塞审稿（降级为文本审稿，如实标注）。</w:t>
      </w:r>
    </w:p>
    <w:p w14:paraId="49E0FF8F">
      <w:pPr>
        <w:spacing w:line="480" w:lineRule="exact"/>
        <w:ind w:firstLine="562" w:firstLineChars="200"/>
      </w:pPr>
      <w:r>
        <w:rPr>
          <w:b/>
        </w:rPr>
        <w:t>第三层：异源大模型评审。</w:t>
      </w:r>
      <w:r>
        <w:t>审稿模型（DeepSeek-V4-Pro）与研究模型不同源，按两层结构评审：第一层是对 AI 自产研究的失败模式逐项排查——实现缺陷穿过自审、幻觉引用、幻觉实验结果、图文断层、过度声明、内部计数矛盾、方法学从记忆构建（清单源自对已公开 AI 科研失败案例的分析</w:t>
      </w:r>
      <w:r>
        <w:rPr>
          <w:sz w:val="18"/>
          <w:szCs w:val="18"/>
          <w:vertAlign w:val="superscript"/>
        </w:rPr>
        <w:t>[22]</w:t>
      </w:r>
      <w:r>
        <w:t>，并经本项目负结果运行的实证补充，见 4.6 节）——任何一条命中即拒收；第二层是常规学术维度（结构、论证、图表引用、结论措辞）。审稿意见注入智能体后，</w:t>
      </w:r>
      <w:r>
        <w:rPr>
          <w:b/>
        </w:rPr>
        <w:t>退回路由</w:t>
      </w:r>
      <w:r>
        <w:t>判断问题性质：数据缺失类问题（证据用错工况、样本不足、方向性矛盾）退回实验环节补测重做，文本表述类问题才走修订路线——基线运行中该路由把"F=8 证据用错工况"的审稿意见正确路由到重新取数与重做诊断图，而非在原文上打补丁（4.6 节）。</w:t>
      </w:r>
    </w:p>
    <w:p w14:paraId="6CAEB80B">
      <w:pPr>
        <w:spacing w:line="480" w:lineRule="exact"/>
        <w:ind w:firstLine="560" w:firstLineChars="200"/>
      </w:pPr>
      <w:r>
        <w:t>行为报告是与论文并列的交付物：研究全过程的叙事化记录（做了什么、为什么、结果如何、哪里失败如何处置），以账本为主线、工具调用记录为佐证生成，服务审计与复盘。全部交付物与过程记录（消息史、工具调用轨迹、账本、用量、审稿记录）落盘于运行目录，实验可复现（附录A）。</w:t>
      </w:r>
    </w:p>
    <w:p w14:paraId="0C1A8EE9">
      <w:pPr>
        <w:pStyle w:val="2"/>
      </w:pPr>
      <w:bookmarkStart w:id="18" w:name="_Toc30828"/>
      <w:r>
        <w:t>3. 实验设置与评价标准</w:t>
      </w:r>
      <w:bookmarkEnd w:id="18"/>
    </w:p>
    <w:p w14:paraId="2250C626">
      <w:pPr>
        <w:spacing w:line="480" w:lineRule="exact"/>
        <w:ind w:firstLine="560" w:firstLineChars="200"/>
      </w:pPr>
      <w:r>
        <w:t>本章给出验证任务的完整定义、评价指标与消融实验设计。全部实验共用同一套基础设施与实验约定，保证跨配置可比。</w:t>
      </w:r>
    </w:p>
    <w:p w14:paraId="617A1EEE">
      <w:pPr>
        <w:pStyle w:val="3"/>
      </w:pPr>
      <w:bookmarkStart w:id="19" w:name="_Toc31930"/>
      <w:r>
        <w:t>3.1 实验环境</w:t>
      </w:r>
      <w:bookmarkEnd w:id="19"/>
    </w:p>
    <w:p w14:paraId="4A179F33">
      <w:pPr>
        <w:spacing w:line="480" w:lineRule="exact"/>
        <w:ind w:firstLine="560" w:firstLineChars="200"/>
      </w:pPr>
      <w:r>
        <w:t>智能体运行于本地工作站；计算服务运行于自建 128 核服务器，离散元仿真服务（Docker 容器）与 DDDA 分析服务（Python 虚拟环境）以 MCP 协议经局域网接入。模型服务经推理网关调用：研究主循环 GLM-5.3，审稿 DeepSeek-V4-Pro，视觉判读 Qwen3.8-Max，向量嵌入 GLM-Embedding-3。主循环步数上限 300，实验种子统一为 1（注入模型请求体，方差控制）。基座模型对照时审稿模型保持 DeepSeek-V4-Pro 不变，仅更换研究模型。</w:t>
      </w:r>
    </w:p>
    <w:p w14:paraId="007D7659">
      <w:pPr>
        <w:pStyle w:val="3"/>
      </w:pPr>
      <w:bookmarkStart w:id="20" w:name="_Toc16269"/>
      <w:r>
        <w:t>3.2 验证任务</w:t>
      </w:r>
      <w:bookmarkEnd w:id="20"/>
    </w:p>
    <w:p w14:paraId="2801E124">
      <w:pPr>
        <w:spacing w:line="480" w:lineRule="exact"/>
        <w:ind w:firstLine="560" w:firstLineChars="200"/>
      </w:pPr>
      <w:r>
        <w:t>验证任务为竖直振动颗粒床的能量标度问题，研究意图原文为：</w:t>
      </w:r>
    </w:p>
    <w:p w14:paraId="09AEB665">
      <w:pPr>
        <w:spacing w:line="480" w:lineRule="exact"/>
        <w:ind w:firstLine="560" w:firstLineChars="200"/>
      </w:pPr>
      <w:r>
        <w:t>&gt; 研究振动颗粒床的能量标度规律：无量纲动能 e_k* 与势能 ep* 随振动强度 Γ、振幅径比 a/d 与填充率 F 的联合标度关系、参数空间子域结构与相态转变判据。</w:t>
      </w:r>
    </w:p>
    <w:p w14:paraId="6130D7C1">
      <w:pPr>
        <w:spacing w:line="480" w:lineRule="exact"/>
        <w:ind w:firstLine="560" w:firstLineChars="200"/>
      </w:pPr>
      <w:r>
        <w:t>（意图原文中的"填充率 F"即本文的颗粒层数 F，全文统一称层数。）</w:t>
      </w:r>
    </w:p>
    <w:p w14:paraId="7AF43692">
      <w:pPr>
        <w:spacing w:line="480" w:lineRule="exact"/>
        <w:ind w:firstLine="560" w:firstLineChars="200"/>
      </w:pPr>
      <w:r>
        <w:t>该任务的选择基于三点考虑。其一，问题结构覆盖系统的全部能力面：双响应量（动能与势能）要求并行分析链路，"子域结构"要求自动分区，"相态转变判据"要求机制调查（快照与时均场诊断），完整链路无法靠单点技巧通过。其二，文献</w:t>
      </w:r>
      <w:r>
        <w:rPr>
          <w:sz w:val="18"/>
          <w:szCs w:val="18"/>
          <w:vertAlign w:val="superscript"/>
        </w:rPr>
        <w:t>[12]</w:t>
      </w:r>
      <w:r>
        <w:t>对该体系三个单响应量的标度律已有系统研究（675 工况基准），研究结论可与人工结果直接对照；其三，能量分配（动能与势能的联合标度）在该文献中明确列为未展开的方向，任务具有真实的增量空间。参数空间与文献</w:t>
      </w:r>
      <w:r>
        <w:rPr>
          <w:sz w:val="18"/>
          <w:szCs w:val="18"/>
          <w:vertAlign w:val="superscript"/>
        </w:rPr>
        <w:t>[12]</w:t>
      </w:r>
      <w:r>
        <w:t>对齐（</w:t>
      </w:r>
      <m:oMath>
        <m:r>
          <m:rPr/>
          <w:rPr>
            <w:sz w:val="24"/>
            <w:szCs w:val="24"/>
          </w:rPr>
          <m:t>Γ∈[1.25,160]</m:t>
        </m:r>
      </m:oMath>
      <w:r>
        <w:t>、</w:t>
      </w:r>
      <m:oMath>
        <m:r>
          <m:rPr/>
          <w:rPr>
            <w:sz w:val="24"/>
            <w:szCs w:val="24"/>
          </w:rPr>
          <m:t>a/d∈[0.25,4]</m:t>
        </m:r>
      </m:oMath>
      <w:r>
        <w:t>、</w:t>
      </w:r>
      <m:oMath>
        <m:r>
          <m:rPr/>
          <w:rPr>
            <w:sz w:val="24"/>
            <w:szCs w:val="24"/>
          </w:rPr>
          <m:t>F∈{4,8,16}</m:t>
        </m:r>
      </m:oMath>
      <w:r>
        <w:t>），主网格 405 工况由智能体在计划阶段自主设计。</w:t>
      </w:r>
    </w:p>
    <w:p w14:paraId="7FB01584">
      <w:pPr>
        <w:pStyle w:val="3"/>
      </w:pPr>
      <w:bookmarkStart w:id="21" w:name="_Toc3921"/>
      <w:r>
        <w:t>3.3 评价指标</w:t>
      </w:r>
      <w:bookmarkEnd w:id="21"/>
    </w:p>
    <w:p w14:paraId="23E231FB">
      <w:pPr>
        <w:spacing w:line="480" w:lineRule="exact"/>
        <w:ind w:firstLine="560" w:firstLineChars="200"/>
      </w:pPr>
      <w:r>
        <w:t>评价沿四个维度。（1）</w:t>
      </w:r>
      <w:r>
        <w:rPr>
          <w:b/>
        </w:rPr>
        <w:t>流程完成度</w:t>
      </w:r>
      <w:r>
        <w:t>：终态（通过审稿/两轮驳回/步数耗尽）、审稿轮次、交付物完备性（论文、幻灯片、行为报告）。（2）</w:t>
      </w:r>
      <w:r>
        <w:rPr>
          <w:b/>
        </w:rPr>
        <w:t>产出可信性</w:t>
      </w:r>
      <w:r>
        <w:t>：数值审计的无出处数值个数（越少越好）、审稿第一层失败模式命中情况。（3）</w:t>
      </w:r>
      <w:r>
        <w:rPr>
          <w:b/>
        </w:rPr>
        <w:t>科学质量</w:t>
      </w:r>
      <w:r>
        <w:t xml:space="preserve">：标度律全局误差 </w:t>
      </w:r>
      <m:oMath>
        <m:sSup>
          <m:sSupPr/>
          <m:e>
            <m:r>
              <m:rPr/>
              <w:rPr>
                <w:sz w:val="24"/>
                <w:szCs w:val="24"/>
              </w:rPr>
              <m:t>δ</m:t>
            </m:r>
          </m:e>
          <m:sup>
            <m:r>
              <m:rPr/>
              <w:rPr>
                <w:sz w:val="24"/>
                <w:szCs w:val="24"/>
              </w:rPr>
              <m:t>∗</m:t>
            </m:r>
          </m:sup>
        </m:sSup>
      </m:oMath>
      <w:r>
        <w:t>（式(4)）、留出验证平均绝对百分比误差（MAPE；留出点位于训练参数范围之内、但不在训练网格上，属域内离网格验证，模型训练不含这些点）、机制调查深度（有无快照/时均场证据链）。（4）</w:t>
      </w:r>
      <w:r>
        <w:rPr>
          <w:b/>
        </w:rPr>
        <w:t>效率与成本</w:t>
      </w:r>
      <w:r>
        <w:t>：主循环步数、工具调用次数、token 消耗（含前缀缓存命中率）、墙钟时间。在过程指标之外，最终交付论文另按四维盲评量表（科学实质与原创性、证据与验证、严谨与自洽、呈现与表达，附录 D）接受定量评分，过程指标与产出评分在第 5 章并列呈现。</w:t>
      </w:r>
    </w:p>
    <w:p w14:paraId="2A11DF0D">
      <w:pPr>
        <w:pStyle w:val="3"/>
      </w:pPr>
      <w:bookmarkStart w:id="22" w:name="_Toc251"/>
      <w:r>
        <w:t>3.4 基线与消融设置</w:t>
      </w:r>
      <w:bookmarkEnd w:id="22"/>
    </w:p>
    <w:p w14:paraId="3DE879DB">
      <w:pPr>
        <w:spacing w:line="480" w:lineRule="exact"/>
        <w:ind w:firstLine="560" w:firstLineChars="200"/>
      </w:pPr>
      <w:r>
        <w:t>消融实验遵循单一变量原则：以基线运行为参照（同一研究意图、同一模型组合、同一种子、同一步数预算、同一工具面），每个消融配置只改变一个模块，其余条件与基线完全一致；唯一例外是"知识供给归零"，它同时关闭本地知识库与在线检索两种知识载体（按 2.4 节的框架，二者是同一功能的两种载体），其结果按条件效应而非单模块效应解读（表 3.1、5.4.3 节）。基线即 4.1 节的基线运行（通过审稿、三件交付物齐备），不重复执行。</w:t>
      </w:r>
    </w:p>
    <w:p w14:paraId="075DD8AB">
      <w:pPr>
        <w:pStyle w:val="11"/>
        <w:keepNext/>
        <w:jc w:val="center"/>
      </w:pPr>
      <w:r>
        <w:t>表 3.1 消融实验矩阵（全部配置 seed=1，max_steps=300）</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41"/>
        <w:gridCol w:w="1092"/>
        <w:gridCol w:w="2624"/>
        <w:gridCol w:w="2621"/>
      </w:tblGrid>
      <w:tr w14:paraId="072FF6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941" w:type="dxa"/>
            <w:tcBorders>
              <w:bottom w:val="single" w:color="auto" w:sz="4" w:space="0"/>
            </w:tcBorders>
            <w:vAlign w:val="center"/>
          </w:tcPr>
          <w:p w14:paraId="33D13923">
            <w:pPr>
              <w:spacing w:line="480" w:lineRule="atLeast"/>
              <w:jc w:val="center"/>
            </w:pPr>
            <w:r>
              <w:rPr>
                <w:b/>
                <w:sz w:val="21"/>
                <w:szCs w:val="21"/>
              </w:rPr>
              <w:t>配置</w:t>
            </w:r>
          </w:p>
        </w:tc>
        <w:tc>
          <w:tcPr>
            <w:tcW w:w="1092" w:type="dxa"/>
            <w:tcBorders>
              <w:bottom w:val="single" w:color="auto" w:sz="4" w:space="0"/>
            </w:tcBorders>
            <w:vAlign w:val="center"/>
          </w:tcPr>
          <w:p w14:paraId="6AEE685E">
            <w:pPr>
              <w:spacing w:line="480" w:lineRule="atLeast"/>
              <w:jc w:val="center"/>
            </w:pPr>
            <w:r>
              <w:rPr>
                <w:b/>
                <w:sz w:val="21"/>
                <w:szCs w:val="21"/>
              </w:rPr>
              <w:t>消融对象</w:t>
            </w:r>
          </w:p>
        </w:tc>
        <w:tc>
          <w:tcPr>
            <w:tcW w:w="2624" w:type="dxa"/>
            <w:tcBorders>
              <w:bottom w:val="single" w:color="auto" w:sz="4" w:space="0"/>
            </w:tcBorders>
            <w:vAlign w:val="center"/>
          </w:tcPr>
          <w:p w14:paraId="134991DD">
            <w:pPr>
              <w:spacing w:line="480" w:lineRule="atLeast"/>
              <w:jc w:val="center"/>
            </w:pPr>
            <w:r>
              <w:rPr>
                <w:b/>
                <w:sz w:val="21"/>
                <w:szCs w:val="21"/>
              </w:rPr>
              <w:t>操作</w:t>
            </w:r>
          </w:p>
        </w:tc>
        <w:tc>
          <w:tcPr>
            <w:tcW w:w="2621" w:type="dxa"/>
            <w:tcBorders>
              <w:bottom w:val="single" w:color="auto" w:sz="4" w:space="0"/>
            </w:tcBorders>
            <w:vAlign w:val="center"/>
          </w:tcPr>
          <w:p w14:paraId="67753AB0">
            <w:pPr>
              <w:spacing w:line="480" w:lineRule="atLeast"/>
              <w:jc w:val="center"/>
            </w:pPr>
            <w:r>
              <w:rPr>
                <w:b/>
                <w:sz w:val="21"/>
                <w:szCs w:val="21"/>
              </w:rPr>
              <w:t>验证问题</w:t>
            </w:r>
          </w:p>
        </w:tc>
      </w:tr>
      <w:tr w14:paraId="59819B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tcBorders>
              <w:top w:val="single" w:color="auto" w:sz="4" w:space="0"/>
            </w:tcBorders>
            <w:vAlign w:val="center"/>
          </w:tcPr>
          <w:p w14:paraId="75F9BBEC">
            <w:pPr>
              <w:spacing w:line="480" w:lineRule="atLeast"/>
              <w:jc w:val="center"/>
            </w:pPr>
            <w:r>
              <w:rPr>
                <w:sz w:val="21"/>
                <w:szCs w:val="21"/>
              </w:rPr>
              <w:t>基线（全量配置）</w:t>
            </w:r>
          </w:p>
        </w:tc>
        <w:tc>
          <w:tcPr>
            <w:tcW w:w="1092" w:type="dxa"/>
            <w:tcBorders>
              <w:top w:val="single" w:color="auto" w:sz="4" w:space="0"/>
            </w:tcBorders>
            <w:vAlign w:val="center"/>
          </w:tcPr>
          <w:p w14:paraId="66C2B0FE">
            <w:pPr>
              <w:spacing w:line="480" w:lineRule="atLeast"/>
            </w:pPr>
            <w:r>
              <w:rPr>
                <w:sz w:val="21"/>
                <w:szCs w:val="21"/>
              </w:rPr>
              <w:t>—</w:t>
            </w:r>
          </w:p>
        </w:tc>
        <w:tc>
          <w:tcPr>
            <w:tcW w:w="2624" w:type="dxa"/>
            <w:tcBorders>
              <w:top w:val="single" w:color="auto" w:sz="4" w:space="0"/>
            </w:tcBorders>
            <w:vAlign w:val="center"/>
          </w:tcPr>
          <w:p w14:paraId="01D9EC64">
            <w:pPr>
              <w:spacing w:line="480" w:lineRule="atLeast"/>
            </w:pPr>
            <w:r>
              <w:rPr>
                <w:sz w:val="21"/>
                <w:szCs w:val="21"/>
              </w:rPr>
              <w:t>—</w:t>
            </w:r>
          </w:p>
        </w:tc>
        <w:tc>
          <w:tcPr>
            <w:tcW w:w="2621" w:type="dxa"/>
            <w:tcBorders>
              <w:top w:val="single" w:color="auto" w:sz="4" w:space="0"/>
            </w:tcBorders>
            <w:vAlign w:val="center"/>
          </w:tcPr>
          <w:p w14:paraId="548E491B">
            <w:pPr>
              <w:spacing w:line="480" w:lineRule="atLeast"/>
            </w:pPr>
            <w:r>
              <w:rPr>
                <w:sz w:val="21"/>
                <w:szCs w:val="21"/>
              </w:rPr>
              <w:t>参照</w:t>
            </w:r>
          </w:p>
        </w:tc>
      </w:tr>
      <w:tr w14:paraId="11393C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576EE6A8">
            <w:pPr>
              <w:spacing w:line="480" w:lineRule="atLeast"/>
              <w:jc w:val="center"/>
            </w:pPr>
            <w:r>
              <w:rPr>
                <w:sz w:val="21"/>
                <w:szCs w:val="21"/>
              </w:rPr>
              <w:t>禁用文献检索</w:t>
            </w:r>
          </w:p>
        </w:tc>
        <w:tc>
          <w:tcPr>
            <w:tcW w:w="1092" w:type="dxa"/>
            <w:vAlign w:val="center"/>
          </w:tcPr>
          <w:p w14:paraId="61D08FC9">
            <w:pPr>
              <w:spacing w:line="480" w:lineRule="atLeast"/>
            </w:pPr>
            <w:r>
              <w:rPr>
                <w:sz w:val="21"/>
                <w:szCs w:val="21"/>
              </w:rPr>
              <w:t>外部文献模块</w:t>
            </w:r>
          </w:p>
        </w:tc>
        <w:tc>
          <w:tcPr>
            <w:tcW w:w="2624" w:type="dxa"/>
            <w:vAlign w:val="center"/>
          </w:tcPr>
          <w:p w14:paraId="599B17E0">
            <w:pPr>
              <w:spacing w:line="480" w:lineRule="atLeast"/>
            </w:pPr>
            <w:r>
              <w:rPr>
                <w:sz w:val="21"/>
                <w:szCs w:val="21"/>
              </w:rPr>
              <w:t>禁用文献检索、查新、全文获取与精读全部工具</w:t>
            </w:r>
          </w:p>
        </w:tc>
        <w:tc>
          <w:tcPr>
            <w:tcW w:w="2621" w:type="dxa"/>
            <w:vAlign w:val="center"/>
          </w:tcPr>
          <w:p w14:paraId="470A8733">
            <w:pPr>
              <w:spacing w:line="480" w:lineRule="atLeast"/>
            </w:pPr>
            <w:r>
              <w:rPr>
                <w:sz w:val="21"/>
                <w:szCs w:val="21"/>
              </w:rPr>
              <w:t>外部文献供给对设计质量与机制对照的贡献</w:t>
            </w:r>
          </w:p>
        </w:tc>
      </w:tr>
      <w:tr w14:paraId="000D50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491BCDEF">
            <w:pPr>
              <w:spacing w:line="480" w:lineRule="atLeast"/>
              <w:jc w:val="center"/>
            </w:pPr>
            <w:r>
              <w:rPr>
                <w:sz w:val="21"/>
                <w:szCs w:val="21"/>
              </w:rPr>
              <w:t>关闭审稿门</w:t>
            </w:r>
          </w:p>
        </w:tc>
        <w:tc>
          <w:tcPr>
            <w:tcW w:w="1092" w:type="dxa"/>
            <w:vAlign w:val="center"/>
          </w:tcPr>
          <w:p w14:paraId="57487B59">
            <w:pPr>
              <w:spacing w:line="480" w:lineRule="atLeast"/>
            </w:pPr>
            <w:r>
              <w:rPr>
                <w:sz w:val="21"/>
                <w:szCs w:val="21"/>
              </w:rPr>
              <w:t>审稿门</w:t>
            </w:r>
          </w:p>
        </w:tc>
        <w:tc>
          <w:tcPr>
            <w:tcW w:w="2624" w:type="dxa"/>
            <w:vAlign w:val="center"/>
          </w:tcPr>
          <w:p w14:paraId="411F51ED">
            <w:pPr>
              <w:spacing w:line="480" w:lineRule="atLeast"/>
            </w:pPr>
            <w:r>
              <w:rPr>
                <w:sz w:val="21"/>
                <w:szCs w:val="21"/>
              </w:rPr>
              <w:t>跳过数值审计、视觉审计与评审</w:t>
            </w:r>
          </w:p>
        </w:tc>
        <w:tc>
          <w:tcPr>
            <w:tcW w:w="2621" w:type="dxa"/>
            <w:vAlign w:val="center"/>
          </w:tcPr>
          <w:p w14:paraId="5CB59FB2">
            <w:pPr>
              <w:spacing w:line="480" w:lineRule="atLeast"/>
            </w:pPr>
            <w:r>
              <w:rPr>
                <w:sz w:val="21"/>
                <w:szCs w:val="21"/>
              </w:rPr>
              <w:t>审稿门对产出可信性的贡献</w:t>
            </w:r>
          </w:p>
        </w:tc>
      </w:tr>
      <w:tr w14:paraId="151D41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5F3DA2C0">
            <w:pPr>
              <w:spacing w:line="480" w:lineRule="atLeast"/>
              <w:jc w:val="center"/>
            </w:pPr>
            <w:r>
              <w:rPr>
                <w:sz w:val="21"/>
                <w:szCs w:val="21"/>
              </w:rPr>
              <w:t>剥离机制调查引导</w:t>
            </w:r>
          </w:p>
        </w:tc>
        <w:tc>
          <w:tcPr>
            <w:tcW w:w="1092" w:type="dxa"/>
            <w:vAlign w:val="center"/>
          </w:tcPr>
          <w:p w14:paraId="12AD922D">
            <w:pPr>
              <w:spacing w:line="480" w:lineRule="atLeast"/>
            </w:pPr>
            <w:r>
              <w:rPr>
                <w:sz w:val="21"/>
                <w:szCs w:val="21"/>
              </w:rPr>
              <w:t>机制调查引导</w:t>
            </w:r>
          </w:p>
        </w:tc>
        <w:tc>
          <w:tcPr>
            <w:tcW w:w="2624" w:type="dxa"/>
            <w:vAlign w:val="center"/>
          </w:tcPr>
          <w:p w14:paraId="401F5244">
            <w:pPr>
              <w:spacing w:line="480" w:lineRule="atLeast"/>
            </w:pPr>
            <w:r>
              <w:rPr>
                <w:sz w:val="21"/>
                <w:szCs w:val="21"/>
              </w:rPr>
              <w:t>剥离机制调查的方法论引导与完成判据</w:t>
            </w:r>
          </w:p>
        </w:tc>
        <w:tc>
          <w:tcPr>
            <w:tcW w:w="2621" w:type="dxa"/>
            <w:vAlign w:val="center"/>
          </w:tcPr>
          <w:p w14:paraId="48EE9C61">
            <w:pPr>
              <w:spacing w:line="480" w:lineRule="atLeast"/>
            </w:pPr>
            <w:r>
              <w:rPr>
                <w:sz w:val="21"/>
                <w:szCs w:val="21"/>
              </w:rPr>
              <w:t>机制调查引导对研究深度的贡献</w:t>
            </w:r>
          </w:p>
        </w:tc>
      </w:tr>
      <w:tr w14:paraId="71B27C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6F8C49FA">
            <w:pPr>
              <w:spacing w:line="480" w:lineRule="atLeast"/>
              <w:jc w:val="center"/>
            </w:pPr>
            <w:r>
              <w:rPr>
                <w:sz w:val="21"/>
                <w:szCs w:val="21"/>
              </w:rPr>
              <w:t>盲知识库</w:t>
            </w:r>
          </w:p>
        </w:tc>
        <w:tc>
          <w:tcPr>
            <w:tcW w:w="1092" w:type="dxa"/>
            <w:vAlign w:val="center"/>
          </w:tcPr>
          <w:p w14:paraId="6906CB7A">
            <w:pPr>
              <w:spacing w:line="480" w:lineRule="atLeast"/>
            </w:pPr>
            <w:r>
              <w:rPr>
                <w:sz w:val="21"/>
                <w:szCs w:val="21"/>
              </w:rPr>
              <w:t>知识库内容</w:t>
            </w:r>
          </w:p>
        </w:tc>
        <w:tc>
          <w:tcPr>
            <w:tcW w:w="2624" w:type="dxa"/>
            <w:vAlign w:val="center"/>
          </w:tcPr>
          <w:p w14:paraId="75B6FAC0">
            <w:pPr>
              <w:spacing w:line="480" w:lineRule="atLeast"/>
            </w:pPr>
            <w:r>
              <w:rPr>
                <w:sz w:val="21"/>
                <w:szCs w:val="21"/>
              </w:rPr>
              <w:t>切换盲知识库</w:t>
            </w:r>
          </w:p>
        </w:tc>
        <w:tc>
          <w:tcPr>
            <w:tcW w:w="2621" w:type="dxa"/>
            <w:vAlign w:val="center"/>
          </w:tcPr>
          <w:p w14:paraId="643E37E1">
            <w:pPr>
              <w:spacing w:line="480" w:lineRule="atLeast"/>
            </w:pPr>
            <w:r>
              <w:rPr>
                <w:sz w:val="21"/>
                <w:szCs w:val="21"/>
              </w:rPr>
              <w:t>对验证文献的依赖度与自主性</w:t>
            </w:r>
          </w:p>
        </w:tc>
      </w:tr>
      <w:tr w14:paraId="2CB0E9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074A046B">
            <w:pPr>
              <w:spacing w:line="480" w:lineRule="atLeast"/>
              <w:jc w:val="center"/>
            </w:pPr>
            <w:r>
              <w:rPr>
                <w:sz w:val="21"/>
                <w:szCs w:val="21"/>
              </w:rPr>
              <w:t>知识供给归零</w:t>
            </w:r>
          </w:p>
        </w:tc>
        <w:tc>
          <w:tcPr>
            <w:tcW w:w="1092" w:type="dxa"/>
            <w:vAlign w:val="center"/>
          </w:tcPr>
          <w:p w14:paraId="0F823C84">
            <w:pPr>
              <w:spacing w:line="480" w:lineRule="atLeast"/>
            </w:pPr>
            <w:r>
              <w:rPr>
                <w:sz w:val="21"/>
                <w:szCs w:val="21"/>
              </w:rPr>
              <w:t>知识供给通道</w:t>
            </w:r>
          </w:p>
        </w:tc>
        <w:tc>
          <w:tcPr>
            <w:tcW w:w="2624" w:type="dxa"/>
            <w:vAlign w:val="center"/>
          </w:tcPr>
          <w:p w14:paraId="0DD9826C">
            <w:pPr>
              <w:spacing w:line="480" w:lineRule="atLeast"/>
            </w:pPr>
            <w:r>
              <w:rPr>
                <w:sz w:val="21"/>
                <w:szCs w:val="21"/>
              </w:rPr>
              <w:t>盲知识库且禁用全部在线文献检索工具</w:t>
            </w:r>
          </w:p>
        </w:tc>
        <w:tc>
          <w:tcPr>
            <w:tcW w:w="2621" w:type="dxa"/>
            <w:vAlign w:val="center"/>
          </w:tcPr>
          <w:p w14:paraId="162D2278">
            <w:pPr>
              <w:spacing w:line="480" w:lineRule="atLeast"/>
            </w:pPr>
            <w:r>
              <w:rPr>
                <w:sz w:val="21"/>
                <w:szCs w:val="21"/>
              </w:rPr>
              <w:t>领域知识断供下自主研究的底线（同时改变两种知识载体，见 5.4.3 节）</w:t>
            </w:r>
          </w:p>
        </w:tc>
      </w:tr>
      <w:tr w14:paraId="0E9BE6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19AC02C2">
            <w:pPr>
              <w:spacing w:line="480" w:lineRule="atLeast"/>
              <w:jc w:val="center"/>
            </w:pPr>
            <w:r>
              <w:rPr>
                <w:sz w:val="21"/>
                <w:szCs w:val="21"/>
              </w:rPr>
              <w:t>国产低档基座（DeepSeek-V4-Flash）</w:t>
            </w:r>
          </w:p>
        </w:tc>
        <w:tc>
          <w:tcPr>
            <w:tcW w:w="1092" w:type="dxa"/>
            <w:vAlign w:val="center"/>
          </w:tcPr>
          <w:p w14:paraId="10FD860D">
            <w:pPr>
              <w:spacing w:line="480" w:lineRule="atLeast"/>
            </w:pPr>
            <w:r>
              <w:rPr>
                <w:sz w:val="21"/>
                <w:szCs w:val="21"/>
              </w:rPr>
              <w:t>基座模型（国产低档）</w:t>
            </w:r>
          </w:p>
        </w:tc>
        <w:tc>
          <w:tcPr>
            <w:tcW w:w="2624" w:type="dxa"/>
            <w:vAlign w:val="center"/>
          </w:tcPr>
          <w:p w14:paraId="1DFAA6F0">
            <w:pPr>
              <w:spacing w:line="480" w:lineRule="atLeast"/>
            </w:pPr>
            <w:r>
              <w:rPr>
                <w:sz w:val="21"/>
                <w:szCs w:val="21"/>
              </w:rPr>
              <w:t>研究模型换 DeepSeek-V4-Flash</w:t>
            </w:r>
          </w:p>
        </w:tc>
        <w:tc>
          <w:tcPr>
            <w:tcW w:w="2621" w:type="dxa"/>
            <w:vAlign w:val="center"/>
          </w:tcPr>
          <w:p w14:paraId="3AE51B16">
            <w:pPr>
              <w:spacing w:line="480" w:lineRule="atLeast"/>
            </w:pPr>
            <w:r>
              <w:rPr>
                <w:sz w:val="21"/>
                <w:szCs w:val="21"/>
              </w:rPr>
              <w:t>基座能力的梯度响应</w:t>
            </w:r>
          </w:p>
        </w:tc>
      </w:tr>
      <w:tr w14:paraId="6933F3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41" w:type="dxa"/>
            <w:vAlign w:val="center"/>
          </w:tcPr>
          <w:p w14:paraId="3C5D631A">
            <w:pPr>
              <w:spacing w:line="480" w:lineRule="atLeast"/>
              <w:jc w:val="center"/>
            </w:pPr>
            <w:r>
              <w:rPr>
                <w:sz w:val="21"/>
                <w:szCs w:val="21"/>
              </w:rPr>
              <w:t>国外高档基座（gpt-5.6-sol）</w:t>
            </w:r>
          </w:p>
        </w:tc>
        <w:tc>
          <w:tcPr>
            <w:tcW w:w="1092" w:type="dxa"/>
            <w:vAlign w:val="center"/>
          </w:tcPr>
          <w:p w14:paraId="6A9BAD30">
            <w:pPr>
              <w:spacing w:line="480" w:lineRule="atLeast"/>
            </w:pPr>
            <w:r>
              <w:rPr>
                <w:sz w:val="21"/>
                <w:szCs w:val="21"/>
              </w:rPr>
              <w:t>基座模型（国外高档）</w:t>
            </w:r>
          </w:p>
        </w:tc>
        <w:tc>
          <w:tcPr>
            <w:tcW w:w="2624" w:type="dxa"/>
            <w:vAlign w:val="center"/>
          </w:tcPr>
          <w:p w14:paraId="68F72F8B">
            <w:pPr>
              <w:spacing w:line="480" w:lineRule="atLeast"/>
            </w:pPr>
            <w:r>
              <w:rPr>
                <w:sz w:val="21"/>
                <w:szCs w:val="21"/>
              </w:rPr>
              <w:t>研究模型换 gpt-5.6-sol（经 OpenAI 兼容网关路由）</w:t>
            </w:r>
          </w:p>
        </w:tc>
        <w:tc>
          <w:tcPr>
            <w:tcW w:w="2621" w:type="dxa"/>
            <w:vAlign w:val="center"/>
          </w:tcPr>
          <w:p w14:paraId="61FCF453">
            <w:pPr>
              <w:spacing w:line="480" w:lineRule="atLeast"/>
            </w:pPr>
            <w:r>
              <w:rPr>
                <w:sz w:val="21"/>
                <w:szCs w:val="21"/>
              </w:rPr>
              <w:t>架构对国产/国外模型的适配性与能力对照</w:t>
            </w:r>
          </w:p>
        </w:tc>
      </w:tr>
    </w:tbl>
    <w:p w14:paraId="6E45014D">
      <w:pPr>
        <w:spacing w:line="480" w:lineRule="exact"/>
        <w:ind w:firstLine="560" w:firstLineChars="200"/>
      </w:pPr>
      <w:r>
        <w:t>消融的工程严谨性有两点保障。其一，被禁用工具不仅从语言模型可见的工具列表移除，调度层亦硬性拦截（幻觉调用不执行，返回结构化禁用提示）——消融不依赖提示词自觉。其二，盲知识库条件的构建约定：以净化版领域综述（剔除验证文献全文及其私有定量结论——层数指数相态判据、675 工况基准等）重建向量库，系统提示词与工具描述中一切提及该文献的表述同步净化，跨会话经验记忆经检查不含该文献引用；外部文献检索通道保留（真实研究者同样可以检索公开文献），该条件的语义是"无答案键"而非"无文献"。每个配置为单次运行，结论以个案对照呈现，不宣称统计显著性。还须说明：消融比较的是同一意图下的端到端研究行为，每个配置的运行自主完成实验设计，部分设计选择（如粒径取 2 mm 或 4 mm、工况规模、响应量安排）由该运行的模型自行决定、配置间不完全相同——这本身是端到端自主性观察的一部分；过程指标与盲评评分均在各运行自身的口径内对账，不受此影响。</w:t>
      </w:r>
    </w:p>
    <w:p w14:paraId="3DE3422F">
      <w:pPr>
        <w:pStyle w:val="2"/>
      </w:pPr>
      <w:bookmarkStart w:id="23" w:name="_Toc19473"/>
      <w:r>
        <w:t>4. 自主科研能力验证</w:t>
      </w:r>
      <w:bookmarkEnd w:id="23"/>
    </w:p>
    <w:p w14:paraId="41760823">
      <w:pPr>
        <w:spacing w:line="480" w:lineRule="exact"/>
        <w:ind w:firstLine="560" w:firstLineChars="200"/>
      </w:pPr>
      <w:r>
        <w:t>本章以基线运行为对象，考察智能体在给定科学问题上的端到端研究能力。该运行的完整过程记录（消息史 49 万字符、工具调用轨迹 225 条、账本 26 条、审稿记录、用量明细）留存于运行目录，附录C 给出关键环节的原文摘录。</w:t>
      </w:r>
    </w:p>
    <w:p w14:paraId="4C009F1D">
      <w:pPr>
        <w:pStyle w:val="3"/>
      </w:pPr>
      <w:bookmarkStart w:id="24" w:name="_Toc450"/>
      <w:r>
        <w:t>4.1 端到端自主研究过程</w:t>
      </w:r>
      <w:bookmarkEnd w:id="24"/>
    </w:p>
    <w:p w14:paraId="6173CEE1">
      <w:pPr>
        <w:spacing w:line="480" w:lineRule="exact"/>
        <w:ind w:firstLine="560" w:firstLineChars="200"/>
      </w:pPr>
      <w:r>
        <w:t>智能体接收到 3.2 节的研究意图后，自主完成全部研究环节并终态通过：205 个主循环步、225 次工具调用、墙钟 3.92 小时，期间经历的可恢复中断（推理配额窗口耗尽）均经断点续跑无损恢复，全程无人工干预。研究时间线可分为六个阶段：缺口挖掘与研究计划（约 30 步）、主网格设计与仿真执行（405 工况）、第一轮分析与加密决策、边界加密与机制调查（105 加密工况 + 6 留出工况）、论文撰写、两轮审稿与修复。账本记录了 26 条关键发现（缺口 1 条、产物 6 条、观察 9 条、决策 5 条、规律 5 条），构成研究的叙事主线。</w:t>
      </w:r>
    </w:p>
    <w:p w14:paraId="14AF6583">
      <w:pPr>
        <w:spacing w:line="480" w:lineRule="exact"/>
        <w:ind w:firstLine="560" w:firstLineChars="200"/>
      </w:pPr>
      <w:r>
        <w:t>交付物三件齐备：6 页 REVTeX 4.2（美国物理学会期刊 LaTeX 模板）格式论文（6 图、10 篇经文献检索获取的参考文献，其中 1 条的作者著录错误见附录E 勘误注），15 页 Beamer（LaTeX 幻灯片宏包）汇报幻灯片（复用论文图表，含备用数据表页）、研究行为报告（研究全过程的叙事化记录，以账本与工具轨迹为数据源）。成本结构上，研究主循环（GLM-5.3）消耗 prompt token 1549 万，其中 93.5% 由前缀缓存命中（2.3 节的两区制压缩所致），未命中部分约 100.7 万 token——缓存命中输入通常按折扣单价计费，实际费用须按未缓存输入、缓存输入与输出分项以服务商单价累计，此处仅报告 token 口径；审稿（DeepSeek-V4-Pro）18 万 token；视觉判读（Qwen3.8-Max，22 次）12 万 token。作为参照，同一问题的完整人工研究周期以天计（4.5 节）。</w:t>
      </w:r>
    </w:p>
    <w:p w14:paraId="1BC1C6EE">
      <w:pPr>
        <w:pStyle w:val="3"/>
      </w:pPr>
      <w:bookmarkStart w:id="25" w:name="_Toc30274"/>
      <w:r>
        <w:t>4.2 自动化实验设计与大规模仿真执行</w:t>
      </w:r>
      <w:bookmarkEnd w:id="25"/>
    </w:p>
    <w:p w14:paraId="201D9213">
      <w:pPr>
        <w:spacing w:line="480" w:lineRule="exact"/>
        <w:ind w:firstLine="562" w:firstLineChars="200"/>
      </w:pPr>
      <w:r>
        <w:rPr>
          <w:b/>
        </w:rPr>
        <w:t>缺口挖掘与假设生成。</w:t>
      </w:r>
      <w:r>
        <w:t>智能体首先执行文献调研与缺口挖掘：知识库与文献精读确认了验证文献</w:t>
      </w:r>
      <w:r>
        <w:rPr>
          <w:sz w:val="18"/>
          <w:szCs w:val="18"/>
          <w:vertAlign w:val="superscript"/>
        </w:rPr>
        <w:t>[12]</w:t>
      </w:r>
      <w:r>
        <w:t xml:space="preserve">已系统研究三个单响应量的分区标度律（675 工况），同时发现两个明确的增量空间——势能响应量 </w:t>
      </w:r>
      <m:oMath>
        <m:sSubSup>
          <m:sSubSupPr/>
          <m:e>
            <m:r>
              <m:rPr/>
              <w:rPr>
                <w:sz w:val="24"/>
                <w:szCs w:val="24"/>
              </w:rPr>
              <m:t>e</m:t>
            </m:r>
          </m:e>
          <m:sub>
            <m:r>
              <m:rPr/>
              <w:rPr>
                <w:sz w:val="24"/>
                <w:szCs w:val="24"/>
              </w:rPr>
              <m:t>p</m:t>
            </m:r>
          </m:sub>
          <m:sup>
            <m:r>
              <m:rPr/>
              <w:rPr>
                <w:sz w:val="24"/>
                <w:szCs w:val="24"/>
              </w:rPr>
              <m:t>∗</m:t>
            </m:r>
          </m:sup>
        </m:sSubSup>
      </m:oMath>
      <w:r>
        <w:t xml:space="preserve"> 从未做过标度分析，动能—势能联合标度与能量分配无人研究；查新工具对"能量分配联合标度"检索确认无先例。智能体据此拟定两个候选研究方向并给出 FINER（可行性、创新性、相关性等研究问题评估准则）评分，推荐将"联合标度律"与"相态转变判据"合并为一条主线，并预先写下四条可证伪假设（联合标度存在性、能量分配结构、子域边界与相态对应、能量注入机制）与失败预案（若 </w:t>
      </w:r>
      <m:oMath>
        <m:sSubSup>
          <m:sSubSupPr/>
          <m:e>
            <m:r>
              <m:rPr/>
              <w:rPr>
                <w:sz w:val="24"/>
                <w:szCs w:val="24"/>
              </w:rPr>
              <m:t>e</m:t>
            </m:r>
          </m:e>
          <m:sub>
            <m:r>
              <m:rPr/>
              <w:rPr>
                <w:sz w:val="24"/>
                <w:szCs w:val="24"/>
              </w:rPr>
              <m:t>p</m:t>
            </m:r>
          </m:sub>
          <m:sup>
            <m:r>
              <m:rPr/>
              <w:rPr>
                <w:sz w:val="24"/>
                <w:szCs w:val="24"/>
              </w:rPr>
              <m:t>∗</m:t>
            </m:r>
          </m:sup>
        </m:sSubSup>
      </m:oMath>
      <w:r>
        <w:t xml:space="preserve"> 聚类退化为单域则如实报告"势能无分区结构"本身作为发现）。研究计划经计划门自动批准后成为执行章程。</w:t>
      </w:r>
    </w:p>
    <w:p w14:paraId="4087D7DA">
      <w:pPr>
        <w:spacing w:line="480" w:lineRule="exact"/>
        <w:ind w:firstLine="562" w:firstLineChars="200"/>
      </w:pPr>
      <w:r>
        <w:rPr>
          <w:b/>
        </w:rPr>
        <w:t>主网格设计。</w:t>
      </w:r>
      <w:r>
        <w:t>智能体自主设计 405 工况主网格：</w:t>
      </w:r>
      <m:oMath>
        <m:r>
          <m:rPr/>
          <w:rPr>
            <w:sz w:val="24"/>
            <w:szCs w:val="24"/>
          </w:rPr>
          <m:t>Γ</m:t>
        </m:r>
      </m:oMath>
      <w:r>
        <w:t xml:space="preserve"> 取 15 个水平（对数均匀覆盖 </w:t>
      </w:r>
      <m:oMath>
        <m:r>
          <m:rPr/>
          <w:rPr>
            <w:sz w:val="24"/>
            <w:szCs w:val="24"/>
          </w:rPr>
          <m:t>[1.25,160]</m:t>
        </m:r>
      </m:oMath>
      <w:r>
        <w:t>，跨越弹跳床至颗粒气态全程）、</w:t>
      </w:r>
      <m:oMath>
        <m:r>
          <m:rPr/>
          <w:rPr>
            <w:sz w:val="24"/>
            <w:szCs w:val="24"/>
          </w:rPr>
          <m:t>a/d</m:t>
        </m:r>
      </m:oMath>
      <w:r>
        <w:t xml:space="preserve"> 取 9 个水平（</w:t>
      </w:r>
      <m:oMath>
        <m:r>
          <m:rPr/>
          <w:rPr>
            <w:sz w:val="24"/>
            <w:szCs w:val="24"/>
          </w:rPr>
          <m:t>[0.25,4]</m:t>
        </m:r>
      </m:oMath>
      <w:r>
        <w:t>）、</w:t>
      </w:r>
      <m:oMath>
        <m:r>
          <m:rPr/>
          <w:rPr>
            <w:sz w:val="24"/>
            <w:szCs w:val="24"/>
          </w:rPr>
          <m:t>F</m:t>
        </m:r>
      </m:oMath>
      <w:r>
        <w:t xml:space="preserve"> 取 3 个水平（4、8、16），并论证采用快速方案（发展段 20 周期、统计段 8 周期）的理由——能量类响应统计收敛快。设计决策（参数范围依据、协议选择、预算分配）逐条记入账本。405 工况经 32 路并行仿真全部成功，零失败。</w:t>
      </w:r>
    </w:p>
    <w:p w14:paraId="5F148B85">
      <w:pPr>
        <w:spacing w:line="480" w:lineRule="exact"/>
        <w:ind w:firstLine="562" w:firstLineChars="200"/>
      </w:pPr>
      <w:r>
        <w:rPr>
          <w:b/>
        </w:rPr>
        <w:t>自适应加密与数据管理。</w:t>
      </w:r>
      <w:r>
        <w:t>第一轮 DDDA 分析后，智能体基于模糊点分布自主决定在子域边界方向加密采样：第二轮补充 105 个边界加密工况，并另设 6 个独立留出验证工况（</w:t>
      </w:r>
      <m:oMath>
        <m:r>
          <m:rPr/>
          <w:rPr>
            <w:sz w:val="24"/>
            <w:szCs w:val="24"/>
          </w:rPr>
          <m:t>F=8</m:t>
        </m:r>
      </m:oMath>
      <w:r>
        <w:t>，</w:t>
      </w:r>
      <m:oMath>
        <m:r>
          <m:rPr/>
          <w:rPr>
            <w:sz w:val="24"/>
            <w:szCs w:val="24"/>
          </w:rPr>
          <m:t>a/d∈{0.45,0.85,1.5}×Γ∈{4,15}</m:t>
        </m:r>
      </m:oMath>
      <w:r>
        <w:t>，均位于训练参数范围之内、但不在训练网格上）。工况对账如下：计划的唯一参数点共 516 个（405 主网格 + 105 加密 + 6 留出）。第二轮的两个设计因同前缀时间戳相继提交而撞作业标识，智能体据当时进度快照（75/105）判断 30 个加密工况丢失，将加密与留出两批全部重新提交；事后合并对账表明冲突批作业最终仍产出 105 条有效记录，重跑批与之重复，属保守补救。此后因一个留出点（</w:t>
      </w:r>
      <m:oMath>
        <m:r>
          <m:rPr/>
          <w:rPr>
            <w:sz w:val="24"/>
            <w:szCs w:val="24"/>
          </w:rPr>
          <m:t>a/d</m:t>
        </m:r>
      </m:oMath>
      <w:r>
        <w:t>=1.5、</w:t>
      </w:r>
      <m:oMath>
        <m:r>
          <m:rPr/>
          <w:rPr>
            <w:sz w:val="24"/>
            <w:szCs w:val="24"/>
          </w:rPr>
          <m:t>Γ</m:t>
        </m:r>
      </m:oMath>
      <w:r>
        <w:t>=15）的响应读数存疑，又单独重跑该点一次取得干净实测值。全程累计提交 622 个工况次仿真（405 + 冲突批 105 + 重跑批 111 + 单点 1），无一失败；合并时去除 106 条重复参数记录，得到 516 个唯一有效数据点，即本章全部分析的口径。作业标识冲突事件作为过程失败案例在 4.6 节分析。</w:t>
      </w:r>
    </w:p>
    <w:p w14:paraId="6B923681">
      <w:pPr>
        <w:pStyle w:val="3"/>
      </w:pPr>
      <w:bookmarkStart w:id="26" w:name="_Toc2230"/>
      <w:r>
        <w:t>4.3 动能与势能的联合标度律</w:t>
      </w:r>
      <w:bookmarkEnd w:id="26"/>
    </w:p>
    <w:p w14:paraId="141E1732">
      <w:pPr>
        <w:spacing w:line="480" w:lineRule="exact"/>
        <w:ind w:firstLine="562" w:firstLineChars="200"/>
      </w:pPr>
      <w:r>
        <w:rPr>
          <w:b/>
        </w:rPr>
        <w:t>动能的两子域纯幂律结构。</w:t>
      </w:r>
      <w:r>
        <w:t>在 516 点合并数据上，DDDA 自动划分出两个动能标度子域（表 4.1）。样本口径先说明清楚：516 点中 91 点（17.6%）因隶属度低于阈值 0.6 作为模糊点不参与拟合，其余 425 点划入碰撞域（308 点）与弹道域（117 点）；两子域内经迭代残差清洗再排除 41 点（碰撞域 30、弹道域 11），最终误差统计基于 384 个有效点（278 + 106）。两子域的拟合结果为</w:t>
      </w:r>
    </w:p>
    <w:p w14:paraId="2A6FD6E5">
      <w:pPr>
        <w:tabs>
          <w:tab w:val="center" w:pos="4139"/>
          <w:tab w:val="right" w:pos="8278"/>
        </w:tabs>
        <w:spacing w:line="560" w:lineRule="atLeast"/>
      </w:pPr>
      <w:r>
        <w:tab/>
      </w:r>
      <m:oMath>
        <m:sSubSup>
          <m:sSubSupPr/>
          <m:e>
            <m:r>
              <m:rPr/>
              <m:t>e</m:t>
            </m:r>
          </m:e>
          <m:sub>
            <m:r>
              <m:rPr/>
              <m:t>k</m:t>
            </m:r>
          </m:sub>
          <m:sup>
            <m:r>
              <m:rPr/>
              <m:t>∗</m:t>
            </m:r>
          </m:sup>
        </m:sSubSup>
        <m:sSup>
          <m:sSupPr/>
          <m:e>
            <m:r>
              <m:rPr/>
              <m:t xml:space="preserve"> = 2.958·(a/d)</m:t>
            </m:r>
          </m:e>
          <m:sup>
            <m:r>
              <m:rPr/>
              <m:t>0.564</m:t>
            </m:r>
          </m:sup>
        </m:sSup>
        <m:sSup>
          <m:sSupPr/>
          <m:e>
            <m:r>
              <m:rPr/>
              <m:t>·Γ</m:t>
            </m:r>
          </m:e>
          <m:sup>
            <m:r>
              <m:rPr/>
              <m:t>0.717</m:t>
            </m:r>
          </m:sup>
        </m:sSup>
        <m:sSup>
          <m:sSupPr/>
          <m:e>
            <m:r>
              <m:rPr/>
              <m:t>·F</m:t>
            </m:r>
          </m:e>
          <m:sup>
            <m:r>
              <m:rPr/>
              <m:t>−0.811</m:t>
            </m:r>
          </m:sup>
        </m:sSup>
        <m:r>
          <m:rPr/>
          <m:t xml:space="preserve">    (碰撞域, δ=18.0%)</m:t>
        </m:r>
      </m:oMath>
      <w:r>
        <w:tab/>
      </w:r>
      <w:r>
        <w:t>(5)</w:t>
      </w:r>
    </w:p>
    <w:p w14:paraId="5F950788">
      <w:pPr>
        <w:tabs>
          <w:tab w:val="center" w:pos="4139"/>
          <w:tab w:val="right" w:pos="8278"/>
        </w:tabs>
        <w:spacing w:line="560" w:lineRule="atLeast"/>
      </w:pPr>
      <w:r>
        <w:tab/>
      </w:r>
      <m:oMath>
        <m:sSubSup>
          <m:sSubSupPr/>
          <m:e>
            <m:r>
              <m:rPr/>
              <m:t>e</m:t>
            </m:r>
          </m:e>
          <m:sub>
            <m:r>
              <m:rPr/>
              <m:t>k</m:t>
            </m:r>
          </m:sub>
          <m:sup>
            <m:r>
              <m:rPr/>
              <m:t>∗</m:t>
            </m:r>
          </m:sup>
        </m:sSubSup>
        <m:sSup>
          <m:sSupPr/>
          <m:e>
            <m:r>
              <m:rPr/>
              <m:t xml:space="preserve"> = 2.059·(a/d)</m:t>
            </m:r>
          </m:e>
          <m:sup>
            <m:r>
              <m:rPr/>
              <m:t>1.044</m:t>
            </m:r>
          </m:sup>
        </m:sSup>
        <m:sSup>
          <m:sSupPr/>
          <m:e>
            <m:r>
              <m:rPr/>
              <m:t>·Γ</m:t>
            </m:r>
          </m:e>
          <m:sup>
            <m:r>
              <m:rPr/>
              <m:t>0.629</m:t>
            </m:r>
          </m:sup>
        </m:sSup>
        <m:sSup>
          <m:sSupPr/>
          <m:e>
            <m:r>
              <m:rPr/>
              <m:t>·F</m:t>
            </m:r>
          </m:e>
          <m:sup>
            <m:r>
              <m:rPr/>
              <m:t>−0.554</m:t>
            </m:r>
          </m:sup>
        </m:sSup>
        <m:r>
          <m:rPr/>
          <m:t xml:space="preserve">    (弹道域, δ=29.4%)</m:t>
        </m:r>
      </m:oMath>
      <w:r>
        <w:tab/>
      </w:r>
      <w:r>
        <w:t>(6)</w:t>
      </w:r>
    </w:p>
    <w:p w14:paraId="0FD5973E">
      <w:pPr>
        <w:spacing w:line="480" w:lineRule="exact"/>
        <w:ind w:firstLine="560" w:firstLineChars="200"/>
      </w:pPr>
      <w:r>
        <w:t xml:space="preserve">全局综合误差 </w:t>
      </w:r>
      <m:oMath>
        <m:sSup>
          <m:sSupPr/>
          <m:e>
            <m:r>
              <m:rPr/>
              <w:rPr>
                <w:sz w:val="24"/>
                <w:szCs w:val="24"/>
              </w:rPr>
              <m:t>δ</m:t>
            </m:r>
          </m:e>
          <m:sup>
            <m:r>
              <m:rPr/>
              <w:rPr>
                <w:sz w:val="24"/>
                <w:szCs w:val="24"/>
              </w:rPr>
              <m:t>∗</m:t>
            </m:r>
          </m:sup>
        </m:sSup>
        <m:r>
          <m:rPr/>
          <w:rPr>
            <w:sz w:val="24"/>
            <w:szCs w:val="24"/>
          </w:rPr>
          <m:t>=21.1%</m:t>
        </m:r>
      </m:oMath>
      <w:r>
        <w:t xml:space="preserve">（384 个有效点、按子域样本数加权，式(4)），优于不分区的单域拟合（23.5%，无模糊点剔除、经自身清洗后基于 465 个有效点）。须指出两个误差的分母不同：分区方案额外排除了 91 个模糊点，21.1% 对 23.5% 的改善同时包含分区收益与样本筛选成分，5.3 节的分辨率扫描在同一框架下展示两者的权衡。两子域指数结构的差异具有清晰的物理含义：弹道域 </w:t>
      </w:r>
      <m:oMath>
        <m:r>
          <m:rPr/>
          <w:rPr>
            <w:sz w:val="24"/>
            <w:szCs w:val="24"/>
          </w:rPr>
          <m:t>a/d</m:t>
        </m:r>
      </m:oMath>
      <w:r>
        <w:t xml:space="preserve"> 指数（1.044）接近单位 1，与颗粒自由飞行距离正比于振幅的弹道图像一致；碰撞域各指数均偏离弹道极限，反映碰撞耗散与能量摊薄。图 4.1 给出两子域的拟合优度与数据覆盖。</w:t>
      </w:r>
    </w:p>
    <w:p w14:paraId="7F3A03C9">
      <w:pPr>
        <w:keepNext/>
        <w:spacing w:line="240" w:lineRule="auto"/>
        <w:jc w:val="center"/>
      </w:pPr>
      <w:r>
        <w:drawing>
          <wp:inline distT="0" distB="0" distL="114300" distR="114300">
            <wp:extent cx="5212080" cy="233743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12080" cy="2337929"/>
                    </a:xfrm>
                    <a:prstGeom prst="rect">
                      <a:avLst/>
                    </a:prstGeom>
                  </pic:spPr>
                </pic:pic>
              </a:graphicData>
            </a:graphic>
          </wp:inline>
        </w:drawing>
      </w:r>
    </w:p>
    <w:p w14:paraId="4579EA4B">
      <w:pPr>
        <w:pStyle w:val="11"/>
        <w:jc w:val="center"/>
      </w:pPr>
      <w:r>
        <w:t xml:space="preserve">图 4.1　动能标度律的拟合优度与数据覆盖（两面板横纵轴均为对数）：(a) 516 个合并数据点的预测—实测对照，横轴为实测 </w:t>
      </w:r>
      <m:oMath>
        <m:sSubSup>
          <m:sSubSupPr/>
          <m:e>
            <m:r>
              <m:rPr/>
              <m:t>e</m:t>
            </m:r>
          </m:e>
          <m:sub>
            <m:r>
              <m:rPr/>
              <m:t>k</m:t>
            </m:r>
          </m:sub>
          <m:sup>
            <m:r>
              <m:rPr/>
              <m:t>∗</m:t>
            </m:r>
          </m:sup>
        </m:sSubSup>
      </m:oMath>
      <w:r>
        <w:t xml:space="preserve">、纵轴为模型预测 </w:t>
      </w:r>
      <m:oMath>
        <m:sSubSup>
          <m:sSubSupPr/>
          <m:e>
            <m:r>
              <m:rPr/>
              <m:t>e</m:t>
            </m:r>
          </m:e>
          <m:sub>
            <m:r>
              <m:rPr/>
              <m:t>k</m:t>
            </m:r>
          </m:sub>
          <m:sup>
            <m:r>
              <m:rPr/>
              <m:t>∗</m:t>
            </m:r>
          </m:sup>
        </m:sSubSup>
      </m:oMath>
      <w:r>
        <w:t xml:space="preserve">，点按子域归属着色（碰撞域 369 点，蓝；弹道域 147 点，橙——该计数为全部 516 点经最近邻归属划分的结果，含模糊点，区别于误差统计所用的 384 个有效点），黑实线为 1:1 参考线，灰带为 ±20% 误差带；(b) </w:t>
      </w:r>
      <m:oMath>
        <m:r>
          <m:rPr/>
          <m:t>F=8</m:t>
        </m:r>
      </m:oMath>
      <w:r>
        <w:t xml:space="preserve"> 剖面上由两子域标度律导出的三条模型曲线（实线，</w:t>
      </w:r>
      <m:oMath>
        <m:r>
          <m:rPr/>
          <m:t>a/d</m:t>
        </m:r>
      </m:oMath>
      <w:r>
        <w:t xml:space="preserve">=0.5、1、2，横轴 </w:t>
      </w:r>
      <m:oMath>
        <m:r>
          <m:rPr/>
          <m:t>Γ</m:t>
        </m:r>
      </m:oMath>
      <w:r>
        <w:t xml:space="preserve">、纵轴 </w:t>
      </w:r>
      <m:oMath>
        <m:sSubSup>
          <m:sSubSupPr/>
          <m:e>
            <m:r>
              <m:rPr/>
              <m:t>e</m:t>
            </m:r>
          </m:e>
          <m:sub>
            <m:r>
              <m:rPr/>
              <m:t>k</m:t>
            </m:r>
          </m:sub>
          <m:sup>
            <m:r>
              <m:rPr/>
              <m:t>∗</m:t>
            </m:r>
          </m:sup>
        </m:sSubSup>
      </m:oMath>
      <w:r>
        <w:t>）与相应振幅附近实测工况的散点（点 = 实测，线 = 模型）</w:t>
      </w:r>
    </w:p>
    <w:p w14:paraId="462D938E">
      <w:pPr>
        <w:pStyle w:val="11"/>
        <w:keepNext/>
        <w:jc w:val="center"/>
      </w:pPr>
      <w:r>
        <w:t>表 4.1 动能标度律的两子域结构（516 点合并数据）</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292"/>
        <w:gridCol w:w="1144"/>
        <w:gridCol w:w="1230"/>
        <w:gridCol w:w="901"/>
        <w:gridCol w:w="987"/>
        <w:gridCol w:w="1724"/>
      </w:tblGrid>
      <w:tr w14:paraId="4F5B96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90" w:hRule="atLeast"/>
          <w:tblHeader/>
          <w:jc w:val="center"/>
        </w:trPr>
        <w:tc>
          <w:tcPr>
            <w:tcW w:w="2292" w:type="dxa"/>
            <w:tcBorders>
              <w:bottom w:val="single" w:color="auto" w:sz="4" w:space="0"/>
            </w:tcBorders>
            <w:vAlign w:val="center"/>
          </w:tcPr>
          <w:p w14:paraId="4750E76C">
            <w:pPr>
              <w:spacing w:line="480" w:lineRule="atLeast"/>
              <w:jc w:val="center"/>
            </w:pPr>
            <w:r>
              <w:rPr>
                <w:b/>
                <w:sz w:val="21"/>
                <w:szCs w:val="21"/>
              </w:rPr>
              <w:t>子域</w:t>
            </w:r>
          </w:p>
        </w:tc>
        <w:tc>
          <w:tcPr>
            <w:tcW w:w="1144" w:type="dxa"/>
            <w:tcBorders>
              <w:bottom w:val="single" w:color="auto" w:sz="4" w:space="0"/>
            </w:tcBorders>
            <w:vAlign w:val="center"/>
          </w:tcPr>
          <w:p w14:paraId="769793F0">
            <w:pPr>
              <w:spacing w:line="480" w:lineRule="atLeast"/>
              <w:jc w:val="center"/>
            </w:pPr>
            <w:r>
              <w:rPr>
                <w:b/>
                <w:sz w:val="21"/>
                <w:szCs w:val="21"/>
              </w:rPr>
              <w:t>有效点数</w:t>
            </w:r>
          </w:p>
        </w:tc>
        <w:tc>
          <w:tcPr>
            <w:tcW w:w="1230" w:type="dxa"/>
            <w:tcBorders>
              <w:bottom w:val="single" w:color="auto" w:sz="4" w:space="0"/>
            </w:tcBorders>
            <w:vAlign w:val="center"/>
          </w:tcPr>
          <w:p w14:paraId="76E46EDD">
            <w:pPr>
              <w:spacing w:line="480" w:lineRule="atLeast"/>
              <w:jc w:val="center"/>
            </w:pPr>
            <w:r>
              <w:rPr>
                <w:b/>
                <w:sz w:val="21"/>
                <w:szCs w:val="21"/>
              </w:rPr>
              <w:t>a/d 指数</w:t>
            </w:r>
          </w:p>
        </w:tc>
        <w:tc>
          <w:tcPr>
            <w:tcW w:w="901" w:type="dxa"/>
            <w:tcBorders>
              <w:bottom w:val="single" w:color="auto" w:sz="4" w:space="0"/>
            </w:tcBorders>
            <w:vAlign w:val="center"/>
          </w:tcPr>
          <w:p w14:paraId="48459807">
            <w:pPr>
              <w:spacing w:line="480" w:lineRule="atLeast"/>
              <w:jc w:val="center"/>
            </w:pPr>
            <w:r>
              <w:rPr>
                <w:b/>
                <w:sz w:val="21"/>
                <w:szCs w:val="21"/>
              </w:rPr>
              <w:t>Γ 指数</w:t>
            </w:r>
          </w:p>
        </w:tc>
        <w:tc>
          <w:tcPr>
            <w:tcW w:w="987" w:type="dxa"/>
            <w:tcBorders>
              <w:bottom w:val="single" w:color="auto" w:sz="4" w:space="0"/>
            </w:tcBorders>
            <w:vAlign w:val="center"/>
          </w:tcPr>
          <w:p w14:paraId="3AD8F70F">
            <w:pPr>
              <w:spacing w:line="480" w:lineRule="atLeast"/>
              <w:jc w:val="center"/>
            </w:pPr>
            <w:r>
              <w:rPr>
                <w:b/>
                <w:sz w:val="21"/>
                <w:szCs w:val="21"/>
              </w:rPr>
              <w:t>F 指数</w:t>
            </w:r>
          </w:p>
        </w:tc>
        <w:tc>
          <w:tcPr>
            <w:tcW w:w="1724" w:type="dxa"/>
            <w:tcBorders>
              <w:bottom w:val="single" w:color="auto" w:sz="4" w:space="0"/>
            </w:tcBorders>
            <w:vAlign w:val="center"/>
          </w:tcPr>
          <w:p w14:paraId="163EC184">
            <w:pPr>
              <w:spacing w:line="480" w:lineRule="atLeast"/>
              <w:jc w:val="center"/>
            </w:pPr>
            <w:r>
              <w:rPr>
                <w:b/>
                <w:sz w:val="21"/>
                <w:szCs w:val="21"/>
              </w:rPr>
              <w:t>子域误差 δ</w:t>
            </w:r>
          </w:p>
        </w:tc>
      </w:tr>
      <w:tr w14:paraId="4A7AC9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92" w:type="dxa"/>
            <w:tcBorders>
              <w:top w:val="single" w:color="auto" w:sz="4" w:space="0"/>
            </w:tcBorders>
            <w:vAlign w:val="center"/>
          </w:tcPr>
          <w:p w14:paraId="37F38189">
            <w:pPr>
              <w:spacing w:line="480" w:lineRule="atLeast"/>
              <w:jc w:val="center"/>
            </w:pPr>
            <w:r>
              <w:rPr>
                <w:sz w:val="21"/>
                <w:szCs w:val="21"/>
              </w:rPr>
              <w:t>碰撞域</w:t>
            </w:r>
          </w:p>
        </w:tc>
        <w:tc>
          <w:tcPr>
            <w:tcW w:w="1144" w:type="dxa"/>
            <w:tcBorders>
              <w:top w:val="single" w:color="auto" w:sz="4" w:space="0"/>
            </w:tcBorders>
            <w:vAlign w:val="center"/>
          </w:tcPr>
          <w:p w14:paraId="31DA531A">
            <w:pPr>
              <w:spacing w:line="480" w:lineRule="atLeast"/>
            </w:pPr>
            <w:r>
              <w:rPr>
                <w:sz w:val="21"/>
                <w:szCs w:val="21"/>
              </w:rPr>
              <w:t>278</w:t>
            </w:r>
          </w:p>
        </w:tc>
        <w:tc>
          <w:tcPr>
            <w:tcW w:w="1230" w:type="dxa"/>
            <w:tcBorders>
              <w:top w:val="single" w:color="auto" w:sz="4" w:space="0"/>
            </w:tcBorders>
            <w:vAlign w:val="center"/>
          </w:tcPr>
          <w:p w14:paraId="0F98D608">
            <w:pPr>
              <w:spacing w:line="480" w:lineRule="atLeast"/>
            </w:pPr>
            <w:r>
              <w:rPr>
                <w:sz w:val="21"/>
                <w:szCs w:val="21"/>
              </w:rPr>
              <w:t>0.564</w:t>
            </w:r>
          </w:p>
        </w:tc>
        <w:tc>
          <w:tcPr>
            <w:tcW w:w="901" w:type="dxa"/>
            <w:tcBorders>
              <w:top w:val="single" w:color="auto" w:sz="4" w:space="0"/>
            </w:tcBorders>
            <w:vAlign w:val="center"/>
          </w:tcPr>
          <w:p w14:paraId="57051D15">
            <w:pPr>
              <w:spacing w:line="480" w:lineRule="atLeast"/>
            </w:pPr>
            <w:r>
              <w:rPr>
                <w:sz w:val="21"/>
                <w:szCs w:val="21"/>
              </w:rPr>
              <w:t>0.717</w:t>
            </w:r>
          </w:p>
        </w:tc>
        <w:tc>
          <w:tcPr>
            <w:tcW w:w="987" w:type="dxa"/>
            <w:tcBorders>
              <w:top w:val="single" w:color="auto" w:sz="4" w:space="0"/>
            </w:tcBorders>
            <w:vAlign w:val="center"/>
          </w:tcPr>
          <w:p w14:paraId="003001F5">
            <w:pPr>
              <w:spacing w:line="480" w:lineRule="atLeast"/>
            </w:pPr>
            <w:r>
              <w:rPr>
                <w:sz w:val="21"/>
                <w:szCs w:val="21"/>
              </w:rPr>
              <w:t>−0.811</w:t>
            </w:r>
          </w:p>
        </w:tc>
        <w:tc>
          <w:tcPr>
            <w:tcW w:w="1724" w:type="dxa"/>
            <w:tcBorders>
              <w:top w:val="single" w:color="auto" w:sz="4" w:space="0"/>
            </w:tcBorders>
            <w:vAlign w:val="center"/>
          </w:tcPr>
          <w:p w14:paraId="3B0614C7">
            <w:pPr>
              <w:spacing w:line="480" w:lineRule="atLeast"/>
            </w:pPr>
            <w:r>
              <w:rPr>
                <w:sz w:val="21"/>
                <w:szCs w:val="21"/>
              </w:rPr>
              <w:t>18.0%</w:t>
            </w:r>
          </w:p>
        </w:tc>
      </w:tr>
      <w:tr w14:paraId="690709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92" w:type="dxa"/>
            <w:vAlign w:val="center"/>
          </w:tcPr>
          <w:p w14:paraId="3C0E0AFB">
            <w:pPr>
              <w:spacing w:line="480" w:lineRule="atLeast"/>
              <w:jc w:val="center"/>
            </w:pPr>
            <w:r>
              <w:rPr>
                <w:sz w:val="21"/>
                <w:szCs w:val="21"/>
              </w:rPr>
              <w:t>弹道域</w:t>
            </w:r>
          </w:p>
        </w:tc>
        <w:tc>
          <w:tcPr>
            <w:tcW w:w="1144" w:type="dxa"/>
            <w:vAlign w:val="center"/>
          </w:tcPr>
          <w:p w14:paraId="528109CB">
            <w:pPr>
              <w:spacing w:line="480" w:lineRule="atLeast"/>
            </w:pPr>
            <w:r>
              <w:rPr>
                <w:sz w:val="21"/>
                <w:szCs w:val="21"/>
              </w:rPr>
              <w:t>106</w:t>
            </w:r>
          </w:p>
        </w:tc>
        <w:tc>
          <w:tcPr>
            <w:tcW w:w="1230" w:type="dxa"/>
            <w:vAlign w:val="center"/>
          </w:tcPr>
          <w:p w14:paraId="5ADA4A64">
            <w:pPr>
              <w:spacing w:line="480" w:lineRule="atLeast"/>
            </w:pPr>
            <w:r>
              <w:rPr>
                <w:sz w:val="21"/>
                <w:szCs w:val="21"/>
              </w:rPr>
              <w:t>1.044</w:t>
            </w:r>
          </w:p>
        </w:tc>
        <w:tc>
          <w:tcPr>
            <w:tcW w:w="901" w:type="dxa"/>
            <w:vAlign w:val="center"/>
          </w:tcPr>
          <w:p w14:paraId="39FE15DD">
            <w:pPr>
              <w:spacing w:line="480" w:lineRule="atLeast"/>
            </w:pPr>
            <w:r>
              <w:rPr>
                <w:sz w:val="21"/>
                <w:szCs w:val="21"/>
              </w:rPr>
              <w:t>0.629</w:t>
            </w:r>
          </w:p>
        </w:tc>
        <w:tc>
          <w:tcPr>
            <w:tcW w:w="987" w:type="dxa"/>
            <w:vAlign w:val="center"/>
          </w:tcPr>
          <w:p w14:paraId="4104B750">
            <w:pPr>
              <w:spacing w:line="480" w:lineRule="atLeast"/>
            </w:pPr>
            <w:r>
              <w:rPr>
                <w:sz w:val="21"/>
                <w:szCs w:val="21"/>
              </w:rPr>
              <w:t>−0.554</w:t>
            </w:r>
          </w:p>
        </w:tc>
        <w:tc>
          <w:tcPr>
            <w:tcW w:w="1724" w:type="dxa"/>
            <w:vAlign w:val="center"/>
          </w:tcPr>
          <w:p w14:paraId="5F546381">
            <w:pPr>
              <w:spacing w:line="480" w:lineRule="atLeast"/>
            </w:pPr>
            <w:r>
              <w:rPr>
                <w:sz w:val="21"/>
                <w:szCs w:val="21"/>
              </w:rPr>
              <w:t>29.4%</w:t>
            </w:r>
          </w:p>
        </w:tc>
      </w:tr>
      <w:tr w14:paraId="3D356E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92" w:type="dxa"/>
            <w:vAlign w:val="center"/>
          </w:tcPr>
          <w:p w14:paraId="27536B7D">
            <w:pPr>
              <w:spacing w:line="480" w:lineRule="atLeast"/>
              <w:jc w:val="center"/>
            </w:pPr>
            <w:r>
              <w:rPr>
                <w:sz w:val="21"/>
                <w:szCs w:val="21"/>
              </w:rPr>
              <w:t>单域拟合（对照）</w:t>
            </w:r>
          </w:p>
        </w:tc>
        <w:tc>
          <w:tcPr>
            <w:tcW w:w="1144" w:type="dxa"/>
            <w:vAlign w:val="center"/>
          </w:tcPr>
          <w:p w14:paraId="3BF4EB09">
            <w:pPr>
              <w:spacing w:line="480" w:lineRule="atLeast"/>
            </w:pPr>
            <w:r>
              <w:rPr>
                <w:sz w:val="21"/>
                <w:szCs w:val="21"/>
              </w:rPr>
              <w:t>465</w:t>
            </w:r>
          </w:p>
        </w:tc>
        <w:tc>
          <w:tcPr>
            <w:tcW w:w="1230" w:type="dxa"/>
            <w:vAlign w:val="center"/>
          </w:tcPr>
          <w:p w14:paraId="503C0036">
            <w:pPr>
              <w:spacing w:line="480" w:lineRule="atLeast"/>
            </w:pPr>
            <w:r>
              <w:rPr>
                <w:sz w:val="21"/>
                <w:szCs w:val="21"/>
              </w:rPr>
              <w:t>0.647</w:t>
            </w:r>
          </w:p>
        </w:tc>
        <w:tc>
          <w:tcPr>
            <w:tcW w:w="901" w:type="dxa"/>
            <w:vAlign w:val="center"/>
          </w:tcPr>
          <w:p w14:paraId="5ECF5D03">
            <w:pPr>
              <w:spacing w:line="480" w:lineRule="atLeast"/>
            </w:pPr>
            <w:r>
              <w:rPr>
                <w:sz w:val="21"/>
                <w:szCs w:val="21"/>
              </w:rPr>
              <w:t>0.698</w:t>
            </w:r>
          </w:p>
        </w:tc>
        <w:tc>
          <w:tcPr>
            <w:tcW w:w="987" w:type="dxa"/>
            <w:vAlign w:val="center"/>
          </w:tcPr>
          <w:p w14:paraId="5F4A3438">
            <w:pPr>
              <w:spacing w:line="480" w:lineRule="atLeast"/>
            </w:pPr>
            <w:r>
              <w:rPr>
                <w:sz w:val="21"/>
                <w:szCs w:val="21"/>
              </w:rPr>
              <w:t>−0.700</w:t>
            </w:r>
          </w:p>
        </w:tc>
        <w:tc>
          <w:tcPr>
            <w:tcW w:w="1724" w:type="dxa"/>
            <w:vAlign w:val="center"/>
          </w:tcPr>
          <w:p w14:paraId="51CD8B1F">
            <w:pPr>
              <w:spacing w:line="480" w:lineRule="atLeast"/>
            </w:pPr>
            <w:r>
              <w:rPr>
                <w:sz w:val="21"/>
                <w:szCs w:val="21"/>
              </w:rPr>
              <w:t>23.5%（δ*）</w:t>
            </w:r>
          </w:p>
        </w:tc>
      </w:tr>
    </w:tbl>
    <w:p w14:paraId="2B42B04F">
      <w:pPr>
        <w:spacing w:line="480" w:lineRule="exact"/>
        <w:ind w:firstLine="562" w:firstLineChars="200"/>
      </w:pPr>
      <w:r>
        <w:rPr>
          <w:b/>
        </w:rPr>
        <w:t>势能无法用统一简单律描述的结构。</w:t>
      </w:r>
      <w:r>
        <w:t xml:space="preserve">势能代理量 </w:t>
      </w:r>
      <m:oMath>
        <m:sSubSup>
          <m:sSubSupPr/>
          <m:e>
            <m:r>
              <m:rPr/>
              <w:rPr>
                <w:sz w:val="24"/>
                <w:szCs w:val="24"/>
              </w:rPr>
              <m:t>e</m:t>
            </m:r>
          </m:e>
          <m:sub>
            <m:r>
              <m:rPr/>
              <w:rPr>
                <w:sz w:val="24"/>
                <w:szCs w:val="24"/>
              </w:rPr>
              <m:t>p</m:t>
            </m:r>
          </m:sub>
          <m:sup>
            <m:r>
              <m:rPr/>
              <w:rPr>
                <w:sz w:val="24"/>
                <w:szCs w:val="24"/>
              </w:rPr>
              <m:t>∗</m:t>
            </m:r>
          </m:sup>
        </m:sSubSup>
      </m:oMath>
      <w:r>
        <w:t xml:space="preserve"> 呈现出与动能截然不同的结构：减法聚类半径扫描找不到稳定的簇数平台，最终六子域划分下 </w:t>
      </w:r>
      <m:oMath>
        <m:sSup>
          <m:sSupPr/>
          <m:e>
            <m:r>
              <m:rPr/>
              <w:rPr>
                <w:sz w:val="24"/>
                <w:szCs w:val="24"/>
              </w:rPr>
              <m:t>δ</m:t>
            </m:r>
          </m:e>
          <m:sup>
            <m:r>
              <m:rPr/>
              <w:rPr>
                <w:sz w:val="24"/>
                <w:szCs w:val="24"/>
              </w:rPr>
              <m:t>∗</m:t>
            </m:r>
          </m:sup>
        </m:sSup>
        <m:r>
          <m:rPr/>
          <w:rPr>
            <w:sz w:val="24"/>
            <w:szCs w:val="24"/>
          </w:rPr>
          <m:t>=26.9%</m:t>
        </m:r>
      </m:oMath>
      <w:r>
        <w:t>（单域 35.9%），且相邻子域间指数符号翻转（</w:t>
      </w:r>
      <m:oMath>
        <m:r>
          <m:rPr/>
          <w:rPr>
            <w:sz w:val="24"/>
            <w:szCs w:val="24"/>
          </w:rPr>
          <m:t>a/d</m:t>
        </m:r>
      </m:oMath>
      <w:r>
        <w:t xml:space="preserve"> 指数从 −0.22 到 +0.78，</w:t>
      </w:r>
      <m:oMath>
        <m:r>
          <m:rPr/>
          <w:rPr>
            <w:sz w:val="24"/>
            <w:szCs w:val="24"/>
          </w:rPr>
          <m:t>F</m:t>
        </m:r>
      </m:oMath>
      <w:r>
        <w:t xml:space="preserve"> 指数从 −1.05 到 +0.58）。智能体未强行压缩该结构，而是将其解读为：势能对参数的响应是连续过渡而非分区跳变，</w:t>
      </w:r>
      <m:oMath>
        <m:sSubSup>
          <m:sSubSupPr/>
          <m:e>
            <m:r>
              <m:rPr/>
              <w:rPr>
                <w:sz w:val="24"/>
                <w:szCs w:val="24"/>
              </w:rPr>
              <m:t>e</m:t>
            </m:r>
          </m:e>
          <m:sub>
            <m:r>
              <m:rPr/>
              <w:rPr>
                <w:sz w:val="24"/>
                <w:szCs w:val="24"/>
              </w:rPr>
              <m:t>p</m:t>
            </m:r>
          </m:sub>
          <m:sup>
            <m:r>
              <m:rPr/>
              <w:rPr>
                <w:sz w:val="24"/>
                <w:szCs w:val="24"/>
              </w:rPr>
              <m:t>∗</m:t>
            </m:r>
          </m:sup>
        </m:sSubSup>
      </m:oMath>
      <w:r>
        <w:t xml:space="preserve"> 无法压缩为统一简单律这一事实本身构成与动能的对照发现。</w:t>
      </w:r>
    </w:p>
    <w:p w14:paraId="6A1F513E">
      <w:pPr>
        <w:spacing w:line="480" w:lineRule="exact"/>
        <w:ind w:firstLine="562" w:firstLineChars="200"/>
      </w:pPr>
      <w:r>
        <w:rPr>
          <w:b/>
        </w:rPr>
        <w:t>能量分配比的结构。</w:t>
      </w:r>
      <w:r>
        <w:t xml:space="preserve">基于双响应量模型，智能体构造能量分配比 </w:t>
      </w:r>
      <m:oMath>
        <m:sSubSup>
          <m:sSubSupPr/>
          <m:e>
            <m:r>
              <m:rPr/>
              <w:rPr>
                <w:sz w:val="24"/>
                <w:szCs w:val="24"/>
              </w:rPr>
              <m:t>R = e</m:t>
            </m:r>
          </m:e>
          <m:sub>
            <m:r>
              <m:rPr/>
              <w:rPr>
                <w:sz w:val="24"/>
                <w:szCs w:val="24"/>
              </w:rPr>
              <m:t>p</m:t>
            </m:r>
          </m:sub>
          <m:sup>
            <m:r>
              <m:rPr/>
              <w:rPr>
                <w:sz w:val="24"/>
                <w:szCs w:val="24"/>
              </w:rPr>
              <m:t>∗</m:t>
            </m:r>
          </m:sup>
        </m:sSubSup>
        <m:sSubSup>
          <m:sSubSupPr/>
          <m:e>
            <m:r>
              <m:rPr/>
              <w:rPr>
                <w:sz w:val="24"/>
                <w:szCs w:val="24"/>
              </w:rPr>
              <m:t>/(e</m:t>
            </m:r>
          </m:e>
          <m:sub>
            <m:r>
              <m:rPr/>
              <w:rPr>
                <w:sz w:val="24"/>
                <w:szCs w:val="24"/>
              </w:rPr>
              <m:t>k</m:t>
            </m:r>
          </m:sub>
          <m:sup>
            <m:r>
              <m:rPr/>
              <w:rPr>
                <w:sz w:val="24"/>
                <w:szCs w:val="24"/>
              </w:rPr>
              <m:t>∗</m:t>
            </m:r>
          </m:sup>
        </m:sSubSup>
        <m:sSubSup>
          <m:sSubSupPr/>
          <m:e>
            <m:r>
              <m:rPr/>
              <w:rPr>
                <w:sz w:val="24"/>
                <w:szCs w:val="24"/>
              </w:rPr>
              <m:t>+e</m:t>
            </m:r>
          </m:e>
          <m:sub>
            <m:r>
              <m:rPr/>
              <w:rPr>
                <w:sz w:val="24"/>
                <w:szCs w:val="24"/>
              </w:rPr>
              <m:t>p</m:t>
            </m:r>
          </m:sub>
          <m:sup>
            <m:r>
              <m:rPr/>
              <w:rPr>
                <w:sz w:val="24"/>
                <w:szCs w:val="24"/>
              </w:rPr>
              <m:t>∗</m:t>
            </m:r>
          </m:sup>
        </m:sSubSup>
        <m:r>
          <m:rPr/>
          <w:rPr>
            <w:sz w:val="24"/>
            <w:szCs w:val="24"/>
          </w:rPr>
          <m:t>)</m:t>
        </m:r>
      </m:oMath>
      <w:r>
        <w:t xml:space="preserve"> 并考察其参数依赖（图 4.2）：沿模型线（</w:t>
      </w:r>
      <m:oMath>
        <m:r>
          <m:rPr/>
          <w:rPr>
            <w:sz w:val="24"/>
            <w:szCs w:val="24"/>
          </w:rPr>
          <m:t>a/d=0.5</m:t>
        </m:r>
      </m:oMath>
      <w:r>
        <w:t>、</w:t>
      </w:r>
      <m:oMath>
        <m:r>
          <m:rPr/>
          <w:rPr>
            <w:sz w:val="24"/>
            <w:szCs w:val="24"/>
          </w:rPr>
          <m:t>F=8</m:t>
        </m:r>
      </m:oMath>
      <w:r>
        <w:t>）</w:t>
      </w:r>
      <m:oMath>
        <m:r>
          <m:rPr/>
          <w:rPr>
            <w:sz w:val="24"/>
            <w:szCs w:val="24"/>
          </w:rPr>
          <m:t>R</m:t>
        </m:r>
      </m:oMath>
      <w:r>
        <w:t xml:space="preserve"> 随 </w:t>
      </w:r>
      <m:oMath>
        <m:r>
          <m:rPr/>
          <w:rPr>
            <w:sz w:val="24"/>
            <w:szCs w:val="24"/>
          </w:rPr>
          <m:t>Γ</m:t>
        </m:r>
      </m:oMath>
      <w:r>
        <w:t xml:space="preserve"> 呈阶梯式上升——Γ=2.5 时 0.13（动能主导）、Γ=10~40 间维持约 0.60 的平台、Γ=160 时 0.90（势能主导）。六个留出实测点（Γ=4 与 15）落在平台区间附近及其上方：Γ=4 的留出值（0.63~0.71）高于同振幅模型曲线（0.53~0.59），Γ=15 的留出值（0.58~0.65）与模型曲线（0.57~0.63）接近；但从 Γ=4 到 15，留出值轻微下降而模型曲线上升，两者方向不一致——这一不一致被第一轮审稿抓住，论文据此撤回单调趋势声明、改为成对比较并如实报告（附录C）。在本研究的采样范围内，能量分配变化未见一阶相变式的突跳；留出点仅覆盖两个 </w:t>
      </w:r>
      <m:oMath>
        <m:r>
          <m:rPr/>
          <w:rPr>
            <w:sz w:val="24"/>
            <w:szCs w:val="24"/>
          </w:rPr>
          <m:t>Γ</m:t>
        </m:r>
      </m:oMath>
      <w:r>
        <w:t xml:space="preserve"> 水平，"渐进转变"的结论限于该范围。</w:t>
      </w:r>
    </w:p>
    <w:p w14:paraId="266F9480">
      <w:pPr>
        <w:keepNext/>
        <w:spacing w:line="240" w:lineRule="auto"/>
        <w:jc w:val="center"/>
      </w:pPr>
      <w:r>
        <w:drawing>
          <wp:inline distT="0" distB="0" distL="114300" distR="114300">
            <wp:extent cx="5212080" cy="3171190"/>
            <wp:effectExtent l="0" t="0" r="762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12080" cy="3171308"/>
                    </a:xfrm>
                    <a:prstGeom prst="rect">
                      <a:avLst/>
                    </a:prstGeom>
                  </pic:spPr>
                </pic:pic>
              </a:graphicData>
            </a:graphic>
          </wp:inline>
        </w:drawing>
      </w:r>
    </w:p>
    <w:p w14:paraId="3AAD0063">
      <w:pPr>
        <w:pStyle w:val="11"/>
        <w:jc w:val="center"/>
      </w:pPr>
      <w:r>
        <w:t xml:space="preserve">图 4.2　能量分配比 </w:t>
      </w:r>
      <m:oMath>
        <m:r>
          <m:rPr/>
          <m:t>R</m:t>
        </m:r>
      </m:oMath>
      <w:r>
        <w:t xml:space="preserve"> 的参数依赖与留出验证（</w:t>
      </w:r>
      <m:oMath>
        <m:r>
          <m:rPr/>
          <m:t>F=8</m:t>
        </m:r>
      </m:oMath>
      <w:r>
        <w:t xml:space="preserve">）：横轴为振动强度 </w:t>
      </w:r>
      <m:oMath>
        <m:r>
          <m:rPr/>
          <m:t>Γ</m:t>
        </m:r>
      </m:oMath>
      <w:r>
        <w:t xml:space="preserve">（对数轴），纵轴为 </w:t>
      </w:r>
      <m:oMath>
        <m:r>
          <m:rPr/>
          <m:t>R</m:t>
        </m:r>
      </m:oMath>
      <w:r>
        <w:t>；三条实线为两子域标度律导出的模型曲线（</w:t>
      </w:r>
      <m:oMath>
        <m:r>
          <m:rPr/>
          <m:t>a/d</m:t>
        </m:r>
      </m:oMath>
      <w:r>
        <w:t>=0.5、1、2，</w:t>
      </w:r>
      <m:oMath>
        <m:r>
          <m:rPr/>
          <m:t>Γ</m:t>
        </m:r>
      </m:oMath>
      <w:r>
        <w:t xml:space="preserve"> 覆盖约 0.13 至 158），低 </w:t>
      </w:r>
      <m:oMath>
        <m:r>
          <m:rPr/>
          <m:t>Γ</m:t>
        </m:r>
      </m:oMath>
      <w:r>
        <w:t xml:space="preserve"> 段自低位上升、经平台区间（灰带，</w:t>
      </w:r>
      <m:oMath>
        <m:r>
          <m:rPr/>
          <m:t>R≈0.60</m:t>
        </m:r>
      </m:oMath>
      <w:r>
        <w:t xml:space="preserve">）后在高 </w:t>
      </w:r>
      <m:oMath>
        <m:r>
          <m:rPr/>
          <m:t>Γ</m:t>
        </m:r>
      </m:oMath>
      <w:r>
        <w:t xml:space="preserve"> 段再度上升；空心圆点为六个留出实测点（</w:t>
      </w:r>
      <m:oMath>
        <m:r>
          <m:rPr/>
          <m:t>a/d∈{0.45,0.85,1.5}×Γ∈{4,15}</m:t>
        </m:r>
      </m:oMath>
      <w:r>
        <w:t>，</w:t>
      </w:r>
      <m:oMath>
        <m:r>
          <m:rPr/>
          <m:t>R</m:t>
        </m:r>
      </m:oMath>
      <w:r>
        <w:t xml:space="preserve"> 由实测 </w:t>
      </w:r>
      <m:oMath>
        <m:sSubSup>
          <m:sSubSupPr/>
          <m:e>
            <m:r>
              <m:rPr/>
              <m:t>e</m:t>
            </m:r>
          </m:e>
          <m:sub>
            <m:r>
              <m:rPr/>
              <m:t>k</m:t>
            </m:r>
          </m:sub>
          <m:sup>
            <m:r>
              <m:rPr/>
              <m:t>∗</m:t>
            </m:r>
          </m:sup>
        </m:sSubSup>
      </m:oMath>
      <w:r>
        <w:t>、</w:t>
      </w:r>
      <m:oMath>
        <m:sSubSup>
          <m:sSubSupPr/>
          <m:e>
            <m:r>
              <m:rPr/>
              <m:t>e</m:t>
            </m:r>
          </m:e>
          <m:sub>
            <m:r>
              <m:rPr/>
              <m:t>p</m:t>
            </m:r>
          </m:sub>
          <m:sup>
            <m:r>
              <m:rPr/>
              <m:t>∗</m:t>
            </m:r>
          </m:sup>
        </m:sSubSup>
      </m:oMath>
      <w:r>
        <w:t xml:space="preserve"> 计算），Γ=4 的三点位于模型曲线上方，Γ=15 的三点与其接近，其间为轻微下降</w:t>
      </w:r>
    </w:p>
    <w:p w14:paraId="466C9EB1">
      <w:pPr>
        <w:pStyle w:val="3"/>
      </w:pPr>
      <w:bookmarkStart w:id="27" w:name="_Toc12145"/>
      <w:r>
        <w:t>4.4 机制解释及其证据</w:t>
      </w:r>
      <w:bookmarkEnd w:id="27"/>
    </w:p>
    <w:p w14:paraId="33D90632">
      <w:pPr>
        <w:spacing w:line="480" w:lineRule="exact"/>
        <w:ind w:firstLine="560" w:firstLineChars="200"/>
      </w:pPr>
      <w:r>
        <w:t>标度律的指数结构引出机制问题：两个动能子域的边界对应什么物理转变？智能体对此执行了多证据源交叉的机制调查。</w:t>
      </w:r>
    </w:p>
    <w:p w14:paraId="6AE595A1">
      <w:pPr>
        <w:spacing w:line="480" w:lineRule="exact"/>
        <w:ind w:firstLine="562" w:firstLineChars="200"/>
      </w:pPr>
      <w:r>
        <w:rPr>
          <w:b/>
        </w:rPr>
        <w:t>子域几何重建。</w:t>
      </w:r>
      <w:r>
        <w:t xml:space="preserve">以 k 近邻投票探针（对任一参数点，由参数空间中距离最近的若干训练点的子域归属投票决定其归属）在 </w:t>
      </w:r>
      <m:oMath>
        <m:r>
          <m:rPr/>
          <w:rPr>
            <w:sz w:val="24"/>
            <w:szCs w:val="24"/>
          </w:rPr>
          <m:t>F=8</m:t>
        </m:r>
      </m:oMath>
      <w:r>
        <w:t xml:space="preserve"> 参数平面上逐点预测子域归属，重建出子域边界几何（图 4.3）：弹道域占据两个角隅——低 </w:t>
      </w:r>
      <m:oMath>
        <m:r>
          <m:rPr/>
          <w:rPr>
            <w:sz w:val="24"/>
            <w:szCs w:val="24"/>
          </w:rPr>
          <m:t>Γ</m:t>
        </m:r>
      </m:oMath>
      <w:r>
        <w:t xml:space="preserve"> 高 </w:t>
      </w:r>
      <m:oMath>
        <m:r>
          <m:rPr/>
          <w:rPr>
            <w:sz w:val="24"/>
            <w:szCs w:val="24"/>
          </w:rPr>
          <m:t>a/d</m:t>
        </m:r>
      </m:oMath>
      <w:r>
        <w:t xml:space="preserve"> 的柱塞弹跳区与超高 </w:t>
      </w:r>
      <m:oMath>
        <m:r>
          <m:rPr/>
          <w:rPr>
            <w:sz w:val="24"/>
            <w:szCs w:val="24"/>
          </w:rPr>
          <m:t>Γ</m:t>
        </m:r>
      </m:oMath>
      <w:r>
        <w:t xml:space="preserve"> 低 </w:t>
      </w:r>
      <m:oMath>
        <m:r>
          <m:rPr/>
          <w:rPr>
            <w:sz w:val="24"/>
            <w:szCs w:val="24"/>
          </w:rPr>
          <m:t>a/d</m:t>
        </m:r>
      </m:oMath>
      <w:r>
        <w:t xml:space="preserve"> 的 Fermi 加速区（颗粒与高速底板反复碰撞而持续加速，类似宇宙线物理中的 Fermi 加速机制）；碰撞域占据正斜率对角带。边界带呈弥散过渡（相邻点 4:3 投票），内部满票。该边界切穿形态学相态类别：柱塞弹跳（类固态）与 Leidenfrost 态（类气态）在形态学上分属两极，却同属弹道标度域——子域的物理本质是</w:t>
      </w:r>
      <w:r>
        <w:rPr>
          <w:b/>
        </w:rPr>
        <w:t>能量注入机制</w:t>
      </w:r>
      <w:r>
        <w:t xml:space="preserve">（弹道飞行 vs 碰撞沸腾）而非床层形态。智能体同时否证了单参数相态判据：子域边界不是 </w:t>
      </w:r>
      <m:oMath>
        <m:r>
          <m:rPr/>
          <w:rPr>
            <w:sz w:val="24"/>
            <w:szCs w:val="24"/>
          </w:rPr>
          <m:t>Γ</m:t>
        </m:r>
      </m:oMath>
      <w:r>
        <w:t xml:space="preserve"> 或 </w:t>
      </w:r>
      <m:oMath>
        <m:r>
          <m:rPr/>
          <w:rPr>
            <w:sz w:val="24"/>
            <w:szCs w:val="24"/>
          </w:rPr>
          <m:t>a/d</m:t>
        </m:r>
      </m:oMath>
      <w:r>
        <w:t xml:space="preserve"> 任何单一参数的等值线。</w:t>
      </w:r>
    </w:p>
    <w:p w14:paraId="30B0FD18">
      <w:pPr>
        <w:keepNext/>
        <w:spacing w:line="240" w:lineRule="auto"/>
        <w:jc w:val="center"/>
      </w:pPr>
      <w:r>
        <w:drawing>
          <wp:inline distT="0" distB="0" distL="114300" distR="114300">
            <wp:extent cx="5212080" cy="35737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3574241"/>
                    </a:xfrm>
                    <a:prstGeom prst="rect">
                      <a:avLst/>
                    </a:prstGeom>
                  </pic:spPr>
                </pic:pic>
              </a:graphicData>
            </a:graphic>
          </wp:inline>
        </w:drawing>
      </w:r>
    </w:p>
    <w:p w14:paraId="60A9F439">
      <w:pPr>
        <w:pStyle w:val="11"/>
        <w:jc w:val="center"/>
      </w:pPr>
      <w:r>
        <w:t>图 4.3　动能子域的参数空间几何（</w:t>
      </w:r>
      <m:oMath>
        <m:r>
          <m:rPr/>
          <m:t>F=8</m:t>
        </m:r>
      </m:oMath>
      <w:r>
        <w:t xml:space="preserve"> 剖面，k 近邻投票重建）：横轴 </w:t>
      </w:r>
      <m:oMath>
        <m:r>
          <m:rPr/>
          <m:t>Γ</m:t>
        </m:r>
      </m:oMath>
      <w:r>
        <w:t xml:space="preserve">（对数）、纵轴 </w:t>
      </w:r>
      <m:oMath>
        <m:r>
          <m:rPr/>
          <m:t>a/d</m:t>
        </m:r>
      </m:oMath>
      <w:r>
        <w:t xml:space="preserve">（对数），单元格颜色为投票重建的子域归属（蓝 = 碰撞域，橙 = 弹道域），深灰小点为 516 点数据中 </w:t>
      </w:r>
      <m:oMath>
        <m:r>
          <m:rPr/>
          <m:t>F=8</m:t>
        </m:r>
      </m:oMath>
      <w:r>
        <w:t xml:space="preserve"> 实际工况的位置，三个大标记为机制代表工况——柱塞弹跳（</w:t>
      </w:r>
      <m:oMath>
        <m:r>
          <m:rPr/>
          <m:t>Γ</m:t>
        </m:r>
      </m:oMath>
      <w:r>
        <w:t>=2.5、</w:t>
      </w:r>
      <m:oMath>
        <m:r>
          <m:rPr/>
          <m:t>a/d</m:t>
        </m:r>
      </m:oMath>
      <w:r>
        <w:t>=1）、碰撞沸腾（</w:t>
      </w:r>
      <m:oMath>
        <m:r>
          <m:rPr/>
          <m:t>Γ</m:t>
        </m:r>
      </m:oMath>
      <w:r>
        <w:t>=10、</w:t>
      </w:r>
      <m:oMath>
        <m:r>
          <m:rPr/>
          <m:t>a/d</m:t>
        </m:r>
      </m:oMath>
      <w:r>
        <w:t>=0.5）与"Leidenfrost"型（</w:t>
      </w:r>
      <m:oMath>
        <m:r>
          <m:rPr/>
          <m:t>Γ</m:t>
        </m:r>
      </m:oMath>
      <w:r>
        <w:t>=160、</w:t>
      </w:r>
      <m:oMath>
        <m:r>
          <m:rPr/>
          <m:t>a/d</m:t>
        </m:r>
      </m:oMath>
      <w:r>
        <w:t>=0.25）</w:t>
      </w:r>
    </w:p>
    <w:p w14:paraId="03AE2F6D">
      <w:pPr>
        <w:spacing w:line="480" w:lineRule="exact"/>
        <w:ind w:firstLine="562" w:firstLineChars="200"/>
      </w:pPr>
      <w:r>
        <w:rPr>
          <w:b/>
        </w:rPr>
        <w:t>快照与时均场诊断。</w:t>
      </w:r>
      <w:r>
        <w:t xml:space="preserve">图 4.4 给出三个机制代表工况的末帧颗粒快照：柱塞弹跳工况显示密实床整体起落、内部速度均匀（量级与底板速度尺度 </w:t>
      </w:r>
      <m:oMath>
        <m:rad>
          <m:radPr>
            <m:degHide m:val="1"/>
          </m:radPr>
          <m:deg/>
          <m:e>
            <m:r>
              <m:rPr/>
              <w:rPr>
                <w:sz w:val="24"/>
                <w:szCs w:val="24"/>
              </w:rPr>
              <m:t>Γga</m:t>
            </m:r>
          </m:e>
        </m:rad>
      </m:oMath>
      <w:r>
        <w:t xml:space="preserve"> 一致）、无对流无气隙；碰撞沸腾工况呈弥散颗粒群与持续碰撞耗散形态；"Leidenfrost"工况下部稀疏层支撑上部悬浮浓集区。时均场诊断由观测通道的时均剖面给出："Leidenfrost"工况（</w:t>
      </w:r>
      <m:oMath>
        <m:r>
          <m:rPr/>
          <w:rPr>
            <w:sz w:val="24"/>
            <w:szCs w:val="24"/>
          </w:rPr>
          <m:t>a/d=0.25</m:t>
        </m:r>
      </m:oMath>
      <w:r>
        <w:t>、</w:t>
      </w:r>
      <m:oMath>
        <m:r>
          <m:rPr/>
          <w:rPr>
            <w:sz w:val="24"/>
            <w:szCs w:val="24"/>
          </w:rPr>
          <m:t>Γ=160</m:t>
        </m:r>
      </m:oMath>
      <w:r>
        <w:t>、</w:t>
      </w:r>
      <m:oMath>
        <m:r>
          <m:rPr/>
          <w:rPr>
            <w:sz w:val="24"/>
            <w:szCs w:val="24"/>
          </w:rPr>
          <m:t>F=8</m:t>
        </m:r>
      </m:oMath>
      <w:r>
        <w:t xml:space="preserve">）的时均固相分数呈双峰廓线——底部气隙约 0.012 m、悬浮浓层峰值 0.09 出现在 </w:t>
      </w:r>
      <m:oMath>
        <m:r>
          <m:rPr/>
          <w:rPr>
            <w:sz w:val="24"/>
            <w:szCs w:val="24"/>
          </w:rPr>
          <m:t>y=0.018</m:t>
        </m:r>
      </m:oMath>
      <w:r>
        <w:t xml:space="preserve"> m、顶部颗粒羽流达 0.116 m（账本原文见附录C）。视觉判读、时均场诊断与 k 近邻几何三个证据源给出一致结论；三者均派生自同一批仿真数据，属互补诊断证据而非统计独立的验证。</w:t>
      </w:r>
    </w:p>
    <w:p w14:paraId="327F61F7">
      <w:pPr>
        <w:keepNext/>
        <w:spacing w:line="240" w:lineRule="auto"/>
        <w:jc w:val="center"/>
      </w:pPr>
      <w:r>
        <w:drawing>
          <wp:inline distT="0" distB="0" distL="114300" distR="114300">
            <wp:extent cx="5212080" cy="25654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12080" cy="2565926"/>
                    </a:xfrm>
                    <a:prstGeom prst="rect">
                      <a:avLst/>
                    </a:prstGeom>
                  </pic:spPr>
                </pic:pic>
              </a:graphicData>
            </a:graphic>
          </wp:inline>
        </w:drawing>
      </w:r>
    </w:p>
    <w:p w14:paraId="01414E0D">
      <w:pPr>
        <w:pStyle w:val="11"/>
        <w:jc w:val="center"/>
      </w:pPr>
      <w:r>
        <w:t>图 4.4　三个机制代表工况的末帧颗粒快照（</w:t>
      </w:r>
      <m:oMath>
        <m:r>
          <m:rPr/>
          <m:t>F=8</m:t>
        </m:r>
      </m:oMath>
      <w:r>
        <w:t>）：(a) 柱塞弹跳（</w:t>
      </w:r>
      <m:oMath>
        <m:r>
          <m:rPr/>
          <m:t>a/d</m:t>
        </m:r>
      </m:oMath>
      <w:r>
        <w:t>=1、</w:t>
      </w:r>
      <m:oMath>
        <m:r>
          <m:rPr/>
          <m:t>Γ</m:t>
        </m:r>
      </m:oMath>
      <w:r>
        <w:t>=2.5），(b) 碰撞沸腾（</w:t>
      </w:r>
      <m:oMath>
        <m:r>
          <m:rPr/>
          <m:t>a/d</m:t>
        </m:r>
      </m:oMath>
      <w:r>
        <w:t>=0.5、</w:t>
      </w:r>
      <m:oMath>
        <m:r>
          <m:rPr/>
          <m:t>Γ</m:t>
        </m:r>
      </m:oMath>
      <w:r>
        <w:t>=10），(c) "Leidenfrost"型（</w:t>
      </w:r>
      <m:oMath>
        <m:r>
          <m:rPr/>
          <m:t>a/d</m:t>
        </m:r>
      </m:oMath>
      <w:r>
        <w:t>=0.25、</w:t>
      </w:r>
      <m:oMath>
        <m:r>
          <m:rPr/>
          <m:t>Γ</m:t>
        </m:r>
      </m:oMath>
      <w:r>
        <w:t>=160）；颗粒颜色为瞬时速度（m/s，色标截断于 1.2），颗粒大小正比于半径，横纵轴为槽内位置（m）；三个面板为本章机制分析选定的代表工况，与附录E 英文论文中的快照图不是同一组案例</w:t>
      </w:r>
    </w:p>
    <w:p w14:paraId="43EF1484">
      <w:pPr>
        <w:spacing w:line="480" w:lineRule="exact"/>
        <w:ind w:firstLine="562" w:firstLineChars="200"/>
      </w:pPr>
      <w:r>
        <w:rPr>
          <w:b/>
        </w:rPr>
        <w:t>证据强度评估。</w:t>
      </w:r>
      <w:r>
        <w:t xml:space="preserve">机制结论的措辞经审稿校正后维持在"is consistent with / suggests"级别：弹道—碰撞二分有指数结构、速度量级与场诊断三重证据，但缺少耗散预算的直接封闭验证，智能体在论文局限中如实声明。标度律的泛化能力由留出验证支撑，其口径需作两点说明。其一，验证对象是第一轮拟合的模型：第一轮主网格拟合后模型即被冻结、用于六个留出点的预测；最终 516 点合并模型吸收了留出点参与重新拟合，其误差口径是表 4.1 的 </w:t>
      </w:r>
      <m:oMath>
        <m:sSup>
          <m:sSupPr/>
          <m:e>
            <m:r>
              <m:rPr/>
              <w:rPr>
                <w:sz w:val="24"/>
                <w:szCs w:val="24"/>
              </w:rPr>
              <m:t>δ</m:t>
            </m:r>
          </m:e>
          <m:sup>
            <m:r>
              <m:rPr/>
              <w:rPr>
                <w:sz w:val="24"/>
                <w:szCs w:val="24"/>
              </w:rPr>
              <m:t>∗</m:t>
            </m:r>
          </m:sup>
        </m:sSup>
      </m:oMath>
      <w:r>
        <w:t>。其二，六个留出点（</w:t>
      </w:r>
      <m:oMath>
        <m:r>
          <m:rPr/>
          <w:rPr>
            <w:sz w:val="24"/>
            <w:szCs w:val="24"/>
          </w:rPr>
          <m:t>F=8</m:t>
        </m:r>
      </m:oMath>
      <w:r>
        <w:t>，</w:t>
      </w:r>
      <m:oMath>
        <m:r>
          <m:rPr/>
          <w:rPr>
            <w:sz w:val="24"/>
            <w:szCs w:val="24"/>
          </w:rPr>
          <m:t>a/d∈{0.45,0.85,1.5}×Γ∈{4,15}</m:t>
        </m:r>
      </m:oMath>
      <w:r>
        <w:t>）均位于训练参数范围之内、但不在训练网格上，属域内离网格验证，不构成参数范围之外的外推检验。在此口径下，第一轮冻结模型在六个留出点上的平均绝对百分比误差（MAPE）为 16.5%，与子域综合误差同量级，误差呈 +15.5% 的系统性保守偏置（模型高估），无发散点。</w:t>
      </w:r>
    </w:p>
    <w:p w14:paraId="5B2EB56F">
      <w:pPr>
        <w:pStyle w:val="3"/>
      </w:pPr>
      <w:bookmarkStart w:id="28" w:name="_Toc22312"/>
      <w:r>
        <w:t>4.5 与人工研究流程的对比</w:t>
      </w:r>
      <w:bookmarkEnd w:id="28"/>
    </w:p>
    <w:p w14:paraId="5E0F9F36">
      <w:pPr>
        <w:spacing w:line="480" w:lineRule="exact"/>
        <w:ind w:firstLine="560" w:firstLineChars="200"/>
      </w:pPr>
      <w:r>
        <w:t>验证文献</w:t>
      </w:r>
      <w:r>
        <w:rPr>
          <w:sz w:val="18"/>
          <w:szCs w:val="18"/>
          <w:vertAlign w:val="superscript"/>
        </w:rPr>
        <w:t>[12]</w:t>
      </w:r>
      <w:r>
        <w:t>的作者完成同一体系的标度律研究（675 工况、动能四子域、</w:t>
      </w:r>
      <m:oMath>
        <m:sSup>
          <m:sSupPr/>
          <m:e>
            <m:r>
              <m:rPr/>
              <w:rPr>
                <w:sz w:val="24"/>
                <w:szCs w:val="24"/>
              </w:rPr>
              <m:t>δ</m:t>
            </m:r>
          </m:e>
          <m:sup>
            <m:r>
              <m:rPr/>
              <w:rPr>
                <w:sz w:val="24"/>
                <w:szCs w:val="24"/>
              </w:rPr>
              <m:t>∗</m:t>
            </m:r>
          </m:sup>
        </m:sSup>
        <m:r>
          <m:rPr/>
          <w:rPr>
            <w:sz w:val="24"/>
            <w:szCs w:val="24"/>
          </w:rPr>
          <m:t>=13.86%</m:t>
        </m:r>
      </m:oMath>
      <w:r>
        <w:t>），其自述的完整实施链条横跨 Linux 集群批量作业、MATLAB 工具箱与 Python 环境，单次全参数空间研究以天计的工程时间。两个流程的对照见表 4.2。</w:t>
      </w:r>
    </w:p>
    <w:p w14:paraId="20D84242">
      <w:pPr>
        <w:pStyle w:val="11"/>
        <w:keepNext/>
        <w:jc w:val="center"/>
      </w:pPr>
      <w:r>
        <w:t>表 4.2 智能体流程与人工流程对照（同一体系；人工流程为基准方案，智能体为快速方案）</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98"/>
        <w:gridCol w:w="2970"/>
        <w:gridCol w:w="4110"/>
      </w:tblGrid>
      <w:tr w14:paraId="4A43F3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198" w:type="dxa"/>
            <w:tcBorders>
              <w:bottom w:val="single" w:color="auto" w:sz="4" w:space="0"/>
            </w:tcBorders>
            <w:vAlign w:val="center"/>
          </w:tcPr>
          <w:p w14:paraId="1E0DC6F6">
            <w:pPr>
              <w:spacing w:line="480" w:lineRule="atLeast"/>
              <w:jc w:val="center"/>
            </w:pPr>
            <w:r>
              <w:rPr>
                <w:b/>
                <w:sz w:val="21"/>
                <w:szCs w:val="21"/>
              </w:rPr>
              <w:t>维度</w:t>
            </w:r>
          </w:p>
        </w:tc>
        <w:tc>
          <w:tcPr>
            <w:tcW w:w="2970" w:type="dxa"/>
            <w:tcBorders>
              <w:bottom w:val="single" w:color="auto" w:sz="4" w:space="0"/>
            </w:tcBorders>
            <w:vAlign w:val="center"/>
          </w:tcPr>
          <w:p w14:paraId="4ACF278B">
            <w:pPr>
              <w:spacing w:line="480" w:lineRule="atLeast"/>
              <w:jc w:val="center"/>
            </w:pPr>
            <w:r>
              <w:rPr>
                <w:b/>
                <w:sz w:val="21"/>
                <w:szCs w:val="21"/>
              </w:rPr>
              <w:t>人工流程</w:t>
            </w:r>
            <w:r>
              <w:rPr>
                <w:sz w:val="21"/>
                <w:szCs w:val="21"/>
                <w:vertAlign w:val="superscript"/>
              </w:rPr>
              <w:t>[12]</w:t>
            </w:r>
          </w:p>
        </w:tc>
        <w:tc>
          <w:tcPr>
            <w:tcW w:w="4110" w:type="dxa"/>
            <w:tcBorders>
              <w:bottom w:val="single" w:color="auto" w:sz="4" w:space="0"/>
            </w:tcBorders>
            <w:vAlign w:val="center"/>
          </w:tcPr>
          <w:p w14:paraId="28BC19A2">
            <w:pPr>
              <w:spacing w:line="480" w:lineRule="atLeast"/>
              <w:jc w:val="center"/>
            </w:pPr>
            <w:r>
              <w:rPr>
                <w:b/>
                <w:sz w:val="21"/>
                <w:szCs w:val="21"/>
              </w:rPr>
              <w:t>GranuSci</w:t>
            </w:r>
          </w:p>
        </w:tc>
      </w:tr>
      <w:tr w14:paraId="711D65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Height w:val="467" w:hRule="atLeast"/>
          <w:jc w:val="center"/>
        </w:trPr>
        <w:tc>
          <w:tcPr>
            <w:tcW w:w="1198" w:type="dxa"/>
            <w:tcBorders>
              <w:top w:val="single" w:color="auto" w:sz="4" w:space="0"/>
            </w:tcBorders>
            <w:vAlign w:val="center"/>
          </w:tcPr>
          <w:p w14:paraId="1A1E3E91">
            <w:pPr>
              <w:spacing w:line="480" w:lineRule="atLeast"/>
              <w:jc w:val="center"/>
            </w:pPr>
            <w:r>
              <w:rPr>
                <w:sz w:val="21"/>
                <w:szCs w:val="21"/>
              </w:rPr>
              <w:t>入口</w:t>
            </w:r>
          </w:p>
        </w:tc>
        <w:tc>
          <w:tcPr>
            <w:tcW w:w="2970" w:type="dxa"/>
            <w:tcBorders>
              <w:top w:val="single" w:color="auto" w:sz="4" w:space="0"/>
            </w:tcBorders>
            <w:vAlign w:val="center"/>
          </w:tcPr>
          <w:p w14:paraId="57A0EB4C">
            <w:pPr>
              <w:spacing w:line="480" w:lineRule="atLeast"/>
            </w:pPr>
            <w:r>
              <w:rPr>
                <w:sz w:val="21"/>
                <w:szCs w:val="21"/>
              </w:rPr>
              <w:t>研究者全程主导</w:t>
            </w:r>
          </w:p>
        </w:tc>
        <w:tc>
          <w:tcPr>
            <w:tcW w:w="4110" w:type="dxa"/>
            <w:tcBorders>
              <w:top w:val="single" w:color="auto" w:sz="4" w:space="0"/>
            </w:tcBorders>
            <w:vAlign w:val="center"/>
          </w:tcPr>
          <w:p w14:paraId="6597A50E">
            <w:pPr>
              <w:spacing w:line="480" w:lineRule="atLeast"/>
            </w:pPr>
            <w:r>
              <w:rPr>
                <w:sz w:val="21"/>
                <w:szCs w:val="21"/>
              </w:rPr>
              <w:t>一句研究意图</w:t>
            </w:r>
          </w:p>
        </w:tc>
      </w:tr>
      <w:tr w14:paraId="35FCBD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1E3E59BA">
            <w:pPr>
              <w:spacing w:line="480" w:lineRule="atLeast"/>
              <w:jc w:val="center"/>
            </w:pPr>
            <w:r>
              <w:rPr>
                <w:sz w:val="21"/>
                <w:szCs w:val="21"/>
              </w:rPr>
              <w:t>工况规模</w:t>
            </w:r>
          </w:p>
        </w:tc>
        <w:tc>
          <w:tcPr>
            <w:tcW w:w="2970" w:type="dxa"/>
            <w:vAlign w:val="center"/>
          </w:tcPr>
          <w:p w14:paraId="2C82A76C">
            <w:pPr>
              <w:spacing w:line="480" w:lineRule="atLeast"/>
            </w:pPr>
            <w:r>
              <w:rPr>
                <w:sz w:val="21"/>
                <w:szCs w:val="21"/>
              </w:rPr>
              <w:t>675（基准方案）</w:t>
            </w:r>
          </w:p>
        </w:tc>
        <w:tc>
          <w:tcPr>
            <w:tcW w:w="4110" w:type="dxa"/>
            <w:vAlign w:val="center"/>
          </w:tcPr>
          <w:p w14:paraId="6D7AC2CB">
            <w:pPr>
              <w:spacing w:line="480" w:lineRule="atLeast"/>
            </w:pPr>
            <w:r>
              <w:rPr>
                <w:sz w:val="21"/>
                <w:szCs w:val="21"/>
              </w:rPr>
              <w:t>516 唯一点（快速方案；含补跑与重复共提交 622 个工况次，无一失败，去重后 516）</w:t>
            </w:r>
          </w:p>
        </w:tc>
      </w:tr>
      <w:tr w14:paraId="57FF6D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369BDFC7">
            <w:pPr>
              <w:spacing w:line="480" w:lineRule="atLeast"/>
              <w:jc w:val="center"/>
            </w:pPr>
            <w:r>
              <w:rPr>
                <w:sz w:val="21"/>
                <w:szCs w:val="21"/>
              </w:rPr>
              <w:t>动能标度</w:t>
            </w:r>
          </w:p>
        </w:tc>
        <w:tc>
          <w:tcPr>
            <w:tcW w:w="2970" w:type="dxa"/>
            <w:vAlign w:val="center"/>
          </w:tcPr>
          <w:p w14:paraId="05C603E9">
            <w:pPr>
              <w:spacing w:line="480" w:lineRule="atLeast"/>
            </w:pPr>
            <w:r>
              <w:rPr>
                <w:sz w:val="21"/>
                <w:szCs w:val="21"/>
              </w:rPr>
              <w:t>4 子域，δ*=13.86%（单域 27.06%）</w:t>
            </w:r>
          </w:p>
        </w:tc>
        <w:tc>
          <w:tcPr>
            <w:tcW w:w="4110" w:type="dxa"/>
            <w:vAlign w:val="center"/>
          </w:tcPr>
          <w:p w14:paraId="6F86F0CA">
            <w:pPr>
              <w:spacing w:line="480" w:lineRule="atLeast"/>
            </w:pPr>
            <w:r>
              <w:rPr>
                <w:sz w:val="21"/>
                <w:szCs w:val="21"/>
              </w:rPr>
              <w:t>2 子域，δ*=21.1%（单域 23.5%）</w:t>
            </w:r>
          </w:p>
        </w:tc>
      </w:tr>
      <w:tr w14:paraId="5BBD1B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1EE570B7">
            <w:pPr>
              <w:spacing w:line="480" w:lineRule="atLeast"/>
              <w:jc w:val="center"/>
            </w:pPr>
            <w:r>
              <w:rPr>
                <w:sz w:val="21"/>
                <w:szCs w:val="21"/>
              </w:rPr>
              <w:t>势能标度</w:t>
            </w:r>
          </w:p>
        </w:tc>
        <w:tc>
          <w:tcPr>
            <w:tcW w:w="2970" w:type="dxa"/>
            <w:vAlign w:val="center"/>
          </w:tcPr>
          <w:p w14:paraId="0B0D3B6F">
            <w:pPr>
              <w:spacing w:line="480" w:lineRule="atLeast"/>
            </w:pPr>
            <w:r>
              <w:rPr>
                <w:sz w:val="21"/>
                <w:szCs w:val="21"/>
              </w:rPr>
              <w:t>未研究</w:t>
            </w:r>
          </w:p>
        </w:tc>
        <w:tc>
          <w:tcPr>
            <w:tcW w:w="4110" w:type="dxa"/>
            <w:vAlign w:val="center"/>
          </w:tcPr>
          <w:p w14:paraId="7244D820">
            <w:pPr>
              <w:spacing w:line="480" w:lineRule="atLeast"/>
            </w:pPr>
            <w:r>
              <w:rPr>
                <w:sz w:val="21"/>
                <w:szCs w:val="21"/>
              </w:rPr>
              <w:t>6 子域结构（无法用统一简单律描述），δ*=26.9%（单域 35.9%）</w:t>
            </w:r>
          </w:p>
        </w:tc>
      </w:tr>
      <w:tr w14:paraId="2DC2B8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640396D6">
            <w:pPr>
              <w:spacing w:line="480" w:lineRule="atLeast"/>
              <w:jc w:val="center"/>
            </w:pPr>
            <w:r>
              <w:rPr>
                <w:sz w:val="21"/>
                <w:szCs w:val="21"/>
              </w:rPr>
              <w:t>能量分配</w:t>
            </w:r>
          </w:p>
        </w:tc>
        <w:tc>
          <w:tcPr>
            <w:tcW w:w="2970" w:type="dxa"/>
            <w:vAlign w:val="center"/>
          </w:tcPr>
          <w:p w14:paraId="3C7389B4">
            <w:pPr>
              <w:spacing w:line="480" w:lineRule="atLeast"/>
            </w:pPr>
            <w:r>
              <w:rPr>
                <w:sz w:val="21"/>
                <w:szCs w:val="21"/>
              </w:rPr>
              <w:t>未研究</w:t>
            </w:r>
          </w:p>
        </w:tc>
        <w:tc>
          <w:tcPr>
            <w:tcW w:w="4110" w:type="dxa"/>
            <w:vAlign w:val="center"/>
          </w:tcPr>
          <w:p w14:paraId="3542096A">
            <w:pPr>
              <w:spacing w:line="480" w:lineRule="atLeast"/>
            </w:pPr>
            <w:r>
              <w:rPr>
                <w:sz w:val="21"/>
                <w:szCs w:val="21"/>
              </w:rPr>
              <w:t>R 阶梯结构 + 留出实测验证</w:t>
            </w:r>
          </w:p>
        </w:tc>
      </w:tr>
      <w:tr w14:paraId="79BC9F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0306C423">
            <w:pPr>
              <w:spacing w:line="480" w:lineRule="atLeast"/>
              <w:jc w:val="center"/>
            </w:pPr>
            <w:r>
              <w:rPr>
                <w:sz w:val="21"/>
                <w:szCs w:val="21"/>
              </w:rPr>
              <w:t>机制解释</w:t>
            </w:r>
          </w:p>
        </w:tc>
        <w:tc>
          <w:tcPr>
            <w:tcW w:w="2970" w:type="dxa"/>
            <w:vAlign w:val="center"/>
          </w:tcPr>
          <w:p w14:paraId="72132AE1">
            <w:pPr>
              <w:spacing w:line="480" w:lineRule="atLeast"/>
            </w:pPr>
            <w:r>
              <w:rPr>
                <w:sz w:val="21"/>
                <w:szCs w:val="21"/>
              </w:rPr>
              <w:t>层数指数定性判读</w:t>
            </w:r>
          </w:p>
        </w:tc>
        <w:tc>
          <w:tcPr>
            <w:tcW w:w="4110" w:type="dxa"/>
            <w:vAlign w:val="center"/>
          </w:tcPr>
          <w:p w14:paraId="31AB9AE5">
            <w:pPr>
              <w:spacing w:line="480" w:lineRule="atLeast"/>
            </w:pPr>
            <w:r>
              <w:rPr>
                <w:sz w:val="21"/>
                <w:szCs w:val="21"/>
              </w:rPr>
              <w:t>弹道/碰撞注入机制 + 三证据源交叉</w:t>
            </w:r>
          </w:p>
        </w:tc>
      </w:tr>
      <w:tr w14:paraId="6E760C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016F77F3">
            <w:pPr>
              <w:spacing w:line="480" w:lineRule="atLeast"/>
              <w:jc w:val="center"/>
            </w:pPr>
            <w:r>
              <w:rPr>
                <w:sz w:val="21"/>
                <w:szCs w:val="21"/>
              </w:rPr>
              <w:t>离网格留出验证</w:t>
            </w:r>
          </w:p>
        </w:tc>
        <w:tc>
          <w:tcPr>
            <w:tcW w:w="2970" w:type="dxa"/>
            <w:vAlign w:val="center"/>
          </w:tcPr>
          <w:p w14:paraId="475C0459">
            <w:pPr>
              <w:spacing w:line="480" w:lineRule="atLeast"/>
            </w:pPr>
            <w:r>
              <w:rPr>
                <w:sz w:val="21"/>
                <w:szCs w:val="21"/>
              </w:rPr>
              <w:t>无（全样本拟合）</w:t>
            </w:r>
          </w:p>
        </w:tc>
        <w:tc>
          <w:tcPr>
            <w:tcW w:w="4110" w:type="dxa"/>
            <w:vAlign w:val="center"/>
          </w:tcPr>
          <w:p w14:paraId="47DECC6A">
            <w:pPr>
              <w:spacing w:line="480" w:lineRule="atLeast"/>
            </w:pPr>
            <w:r>
              <w:rPr>
                <w:sz w:val="21"/>
                <w:szCs w:val="21"/>
              </w:rPr>
              <w:t>6 点域内离网格留出（第一轮冻结模型），MAPE=16.5%</w:t>
            </w:r>
          </w:p>
        </w:tc>
      </w:tr>
      <w:tr w14:paraId="21B5BC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55B81E97">
            <w:pPr>
              <w:spacing w:line="480" w:lineRule="atLeast"/>
              <w:jc w:val="center"/>
            </w:pPr>
            <w:r>
              <w:rPr>
                <w:sz w:val="21"/>
                <w:szCs w:val="21"/>
              </w:rPr>
              <w:t>工程周期</w:t>
            </w:r>
          </w:p>
        </w:tc>
        <w:tc>
          <w:tcPr>
            <w:tcW w:w="2970" w:type="dxa"/>
            <w:vAlign w:val="center"/>
          </w:tcPr>
          <w:p w14:paraId="3BC5FD34">
            <w:pPr>
              <w:spacing w:line="480" w:lineRule="atLeast"/>
            </w:pPr>
            <w:r>
              <w:rPr>
                <w:sz w:val="21"/>
                <w:szCs w:val="21"/>
              </w:rPr>
              <w:t>以天计（五种技术栈）</w:t>
            </w:r>
          </w:p>
        </w:tc>
        <w:tc>
          <w:tcPr>
            <w:tcW w:w="4110" w:type="dxa"/>
            <w:vAlign w:val="center"/>
          </w:tcPr>
          <w:p w14:paraId="66F9D3E4">
            <w:pPr>
              <w:spacing w:line="480" w:lineRule="atLeast"/>
            </w:pPr>
            <w:r>
              <w:rPr>
                <w:sz w:val="21"/>
                <w:szCs w:val="21"/>
              </w:rPr>
              <w:t>3.92 小时（含论文与幻灯片）</w:t>
            </w:r>
          </w:p>
        </w:tc>
      </w:tr>
      <w:tr w14:paraId="024DC5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98" w:type="dxa"/>
            <w:vAlign w:val="center"/>
          </w:tcPr>
          <w:p w14:paraId="59232B27">
            <w:pPr>
              <w:spacing w:line="480" w:lineRule="atLeast"/>
              <w:jc w:val="center"/>
            </w:pPr>
            <w:r>
              <w:rPr>
                <w:sz w:val="21"/>
                <w:szCs w:val="21"/>
              </w:rPr>
              <w:t>产出形态</w:t>
            </w:r>
          </w:p>
        </w:tc>
        <w:tc>
          <w:tcPr>
            <w:tcW w:w="2970" w:type="dxa"/>
            <w:vAlign w:val="center"/>
          </w:tcPr>
          <w:p w14:paraId="0B8D9579">
            <w:pPr>
              <w:spacing w:line="480" w:lineRule="atLeast"/>
            </w:pPr>
            <w:r>
              <w:rPr>
                <w:sz w:val="21"/>
                <w:szCs w:val="21"/>
              </w:rPr>
              <w:t>学位论文章节</w:t>
            </w:r>
          </w:p>
        </w:tc>
        <w:tc>
          <w:tcPr>
            <w:tcW w:w="4110" w:type="dxa"/>
            <w:vAlign w:val="center"/>
          </w:tcPr>
          <w:p w14:paraId="20CBAE89">
            <w:pPr>
              <w:spacing w:line="480" w:lineRule="atLeast"/>
            </w:pPr>
            <w:r>
              <w:rPr>
                <w:sz w:val="21"/>
                <w:szCs w:val="21"/>
              </w:rPr>
              <w:t>REVTeX 论文 + 幻灯片 + 行为报告（经两轮审稿）</w:t>
            </w:r>
          </w:p>
        </w:tc>
      </w:tr>
    </w:tbl>
    <w:p w14:paraId="519E404D">
      <w:pPr>
        <w:spacing w:line="480" w:lineRule="exact"/>
        <w:ind w:firstLine="560" w:firstLineChars="200"/>
      </w:pPr>
      <w:r>
        <w:t xml:space="preserve">两点比较须如实说明。其一，智能体的动能 </w:t>
      </w:r>
      <m:oMath>
        <m:sSup>
          <m:sSupPr/>
          <m:e>
            <m:r>
              <m:rPr/>
              <w:rPr>
                <w:sz w:val="24"/>
                <w:szCs w:val="24"/>
              </w:rPr>
              <m:t>δ</m:t>
            </m:r>
          </m:e>
          <m:sup>
            <m:r>
              <m:rPr/>
              <w:rPr>
                <w:sz w:val="24"/>
                <w:szCs w:val="24"/>
              </w:rPr>
              <m:t>∗</m:t>
            </m:r>
          </m:sup>
        </m:sSup>
      </m:oMath>
      <w:r>
        <w:t xml:space="preserve">（21.1%）高于人工结果（13.86%），主要来源是快速方案的统计噪声与 </w:t>
      </w:r>
      <m:oMath>
        <m:r>
          <m:rPr/>
          <w:rPr>
            <w:sz w:val="24"/>
            <w:szCs w:val="24"/>
          </w:rPr>
          <m:t>F</m:t>
        </m:r>
      </m:oMath>
      <w:r>
        <w:t xml:space="preserve"> 仅取 3 水平的网格差异，而非分区方法本身——第 5.3 节的受控消融在同一数据上单独量化了分区收益。其二，方向性结论与人工研究一致（</w:t>
      </w:r>
      <m:oMath>
        <m:r>
          <m:rPr/>
          <w:rPr>
            <w:sz w:val="24"/>
            <w:szCs w:val="24"/>
          </w:rPr>
          <m:t>a/d</m:t>
        </m:r>
      </m:oMath>
      <w:r>
        <w:t xml:space="preserve"> 各子域正相关、</w:t>
      </w:r>
      <m:oMath>
        <m:r>
          <m:rPr/>
          <w:rPr>
            <w:sz w:val="24"/>
            <w:szCs w:val="24"/>
          </w:rPr>
          <m:t>Γ</m:t>
        </m:r>
      </m:oMath>
      <w:r>
        <w:t xml:space="preserve"> 大体正相关、</w:t>
      </w:r>
      <m:oMath>
        <m:r>
          <m:rPr/>
          <w:rPr>
            <w:sz w:val="24"/>
            <w:szCs w:val="24"/>
          </w:rPr>
          <m:t>F</m:t>
        </m:r>
      </m:oMath>
      <w:r>
        <w:t xml:space="preserve"> 以负指数为主），表明智能体复现了已知规律的结构而非数值巧合；在此之上，势能结构、能量分配与机制重新解读是人工研究未覆盖的增量。</w:t>
      </w:r>
    </w:p>
    <w:p w14:paraId="5DD2D528">
      <w:pPr>
        <w:pStyle w:val="3"/>
      </w:pPr>
      <w:bookmarkStart w:id="29" w:name="_Toc10682"/>
      <w:r>
        <w:t>4.6 研究过程中的失败及其拦截纠正</w:t>
      </w:r>
      <w:bookmarkEnd w:id="29"/>
    </w:p>
    <w:p w14:paraId="0ACF44A3">
      <w:pPr>
        <w:spacing w:line="480" w:lineRule="exact"/>
        <w:ind w:firstLine="560" w:firstLineChars="200"/>
      </w:pPr>
      <w:r>
        <w:t>一次运行的价值不仅在于成功交付，还在于其错误是否被系统拦截与纠正。基线运行的过程记录中包含完整的失败—修复链，按三层归纳（完整素材见运行目录与附录C）。</w:t>
      </w:r>
    </w:p>
    <w:p w14:paraId="5057316F">
      <w:pPr>
        <w:spacing w:line="480" w:lineRule="exact"/>
        <w:ind w:firstLine="562" w:firstLineChars="200"/>
      </w:pPr>
      <w:r>
        <w:rPr>
          <w:b/>
        </w:rPr>
        <w:t>研究过程层：四起自主修复的失败。</w:t>
      </w:r>
      <w:r>
        <w:t>（1）第一轮 DDDA 以默认参数分析动能，聚类退化为 9 个微簇（模糊点 54.8%、</w:t>
      </w:r>
      <m:oMath>
        <m:sSup>
          <m:sSupPr/>
          <m:e>
            <m:r>
              <m:rPr/>
              <w:rPr>
                <w:sz w:val="24"/>
                <w:szCs w:val="24"/>
              </w:rPr>
              <m:t>δ</m:t>
            </m:r>
          </m:e>
          <m:sup>
            <m:r>
              <m:rPr/>
              <w:rPr>
                <w:sz w:val="24"/>
                <w:szCs w:val="24"/>
              </w:rPr>
              <m:t>∗</m:t>
            </m:r>
          </m:sup>
        </m:sSup>
        <m:r>
          <m:rPr/>
          <w:rPr>
            <w:sz w:val="24"/>
            <w:szCs w:val="24"/>
          </w:rPr>
          <m:t>=0.61</m:t>
        </m:r>
      </m:oMath>
      <w:r>
        <w:t>）——智能体记账失败教训后调整分辨率参数重跑，恢复两子域结构；（2）势能的簇数扫描无稳定平台——如实记下"不能归入单一简单律"的判读，未强行拟合；（3）作业标识冲突：进度快照（75/105）显示加密批未完成，判断 30 个工况丢失——诊断、记账、全批重跑（事后合并对账表明冲突批最终仍产出 105 条有效记录，当时的丢失判断偏保守，重跑与去重保证了完整性，见 4.2 节）；（4）快照图的工况标签错误（工况排序为 F 优先，心算索引错位）——记账纠错并按正确参数重写判读。四起事件的共同点是：失败没有掩盖，均以账本条目留痕，修复动作有工具记录佐证。</w:t>
      </w:r>
    </w:p>
    <w:p w14:paraId="7BA90A6E">
      <w:pPr>
        <w:spacing w:line="480" w:lineRule="exact"/>
        <w:ind w:firstLine="562" w:firstLineChars="200"/>
      </w:pPr>
      <w:r>
        <w:rPr>
          <w:b/>
        </w:rPr>
        <w:t>交付质量层：审稿门的实战拦截。</w:t>
      </w:r>
      <w:r>
        <w:t>论文第一轮审稿被驳回，四项问题中两项是实质性的：其一，F=8 的机制证据图误用了 F=4 的工况（工况排序索引错位——模型心算的典型错误），其二，能量分配比的留出实测方向与模型预测相反。退回路由将前者判为数据缺失类问题，退回实验：智能体重新调用观测通道获取真正的 F=8 工况快照与时均场，重制两张诊断图，结论维持；后者促使智能体撤回单调趋势声明，改为成对比较并如实报告。第二轮审稿通过，数值审计 30 个小数全部溯源，无出处数值为零。</w:t>
      </w:r>
    </w:p>
    <w:p w14:paraId="0293196F">
      <w:pPr>
        <w:spacing w:line="480" w:lineRule="exact"/>
        <w:ind w:firstLine="562" w:firstLineChars="200"/>
      </w:pPr>
      <w:r>
        <w:rPr>
          <w:b/>
        </w:rPr>
        <w:t>负结果对照。</w:t>
      </w:r>
      <w:r>
        <w:t>此前的一次偏析主题运行（负结果运行，295 步）终态为两轮审稿均驳回：其论文声称"13 个符号确认工况"而正文仅枚举 9 个（计数矛盾），且 4 个高精度锚点值在工具记录中无出处（数值审计报 5 个无出处数值）。该运行作为负结果保留，是审稿门有效性的最直接证据——若无数值审计与异源评审，这些无源数值将进入最终交付物。两个案例的对照（表 4.3）表明，通过与否的差异不在语言流畅度，而在数据管理纪律：留出验证、账本溯源与退回修订补数。</w:t>
      </w:r>
    </w:p>
    <w:p w14:paraId="3A8F4AF8">
      <w:pPr>
        <w:pStyle w:val="11"/>
        <w:keepNext/>
        <w:jc w:val="center"/>
      </w:pPr>
      <w:r>
        <w:t>表 4.3 正负结果案例对照</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33"/>
        <w:gridCol w:w="1902"/>
        <w:gridCol w:w="4243"/>
      </w:tblGrid>
      <w:tr w14:paraId="129F94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133" w:type="dxa"/>
            <w:tcBorders>
              <w:bottom w:val="single" w:color="auto" w:sz="4" w:space="0"/>
            </w:tcBorders>
            <w:vAlign w:val="center"/>
          </w:tcPr>
          <w:p w14:paraId="6D531788">
            <w:pPr>
              <w:spacing w:line="480" w:lineRule="atLeast"/>
              <w:jc w:val="center"/>
            </w:pPr>
            <w:r>
              <w:rPr>
                <w:b/>
                <w:sz w:val="21"/>
                <w:szCs w:val="21"/>
              </w:rPr>
              <w:t>维度</w:t>
            </w:r>
          </w:p>
        </w:tc>
        <w:tc>
          <w:tcPr>
            <w:tcW w:w="1902" w:type="dxa"/>
            <w:tcBorders>
              <w:bottom w:val="single" w:color="auto" w:sz="4" w:space="0"/>
            </w:tcBorders>
            <w:vAlign w:val="center"/>
          </w:tcPr>
          <w:p w14:paraId="69B8B2D8">
            <w:pPr>
              <w:spacing w:line="480" w:lineRule="atLeast"/>
              <w:jc w:val="center"/>
            </w:pPr>
            <w:r>
              <w:rPr>
                <w:b/>
                <w:sz w:val="21"/>
                <w:szCs w:val="21"/>
              </w:rPr>
              <w:t>负结果运行</w:t>
            </w:r>
          </w:p>
        </w:tc>
        <w:tc>
          <w:tcPr>
            <w:tcW w:w="4243" w:type="dxa"/>
            <w:tcBorders>
              <w:bottom w:val="single" w:color="auto" w:sz="4" w:space="0"/>
            </w:tcBorders>
            <w:vAlign w:val="center"/>
          </w:tcPr>
          <w:p w14:paraId="7C9F8F54">
            <w:pPr>
              <w:spacing w:line="480" w:lineRule="atLeast"/>
              <w:jc w:val="center"/>
            </w:pPr>
            <w:r>
              <w:rPr>
                <w:b/>
                <w:sz w:val="21"/>
                <w:szCs w:val="21"/>
              </w:rPr>
              <w:t>基线运行（正结果）</w:t>
            </w:r>
          </w:p>
        </w:tc>
      </w:tr>
      <w:tr w14:paraId="17A853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tcBorders>
              <w:top w:val="single" w:color="auto" w:sz="4" w:space="0"/>
            </w:tcBorders>
            <w:vAlign w:val="center"/>
          </w:tcPr>
          <w:p w14:paraId="3782AFF4">
            <w:pPr>
              <w:spacing w:line="480" w:lineRule="atLeast"/>
              <w:jc w:val="center"/>
            </w:pPr>
            <w:r>
              <w:rPr>
                <w:sz w:val="21"/>
                <w:szCs w:val="21"/>
              </w:rPr>
              <w:t>终态</w:t>
            </w:r>
          </w:p>
        </w:tc>
        <w:tc>
          <w:tcPr>
            <w:tcW w:w="1902" w:type="dxa"/>
            <w:tcBorders>
              <w:top w:val="single" w:color="auto" w:sz="4" w:space="0"/>
            </w:tcBorders>
            <w:vAlign w:val="center"/>
          </w:tcPr>
          <w:p w14:paraId="013DF482">
            <w:pPr>
              <w:spacing w:line="480" w:lineRule="atLeast"/>
            </w:pPr>
            <w:r>
              <w:rPr>
                <w:sz w:val="21"/>
                <w:szCs w:val="21"/>
              </w:rPr>
              <w:t>两轮驳回</w:t>
            </w:r>
          </w:p>
        </w:tc>
        <w:tc>
          <w:tcPr>
            <w:tcW w:w="4243" w:type="dxa"/>
            <w:tcBorders>
              <w:top w:val="single" w:color="auto" w:sz="4" w:space="0"/>
            </w:tcBorders>
            <w:vAlign w:val="center"/>
          </w:tcPr>
          <w:p w14:paraId="27CDD40D">
            <w:pPr>
              <w:spacing w:line="480" w:lineRule="atLeast"/>
            </w:pPr>
            <w:r>
              <w:rPr>
                <w:sz w:val="21"/>
                <w:szCs w:val="21"/>
              </w:rPr>
              <w:t>驳回后通过</w:t>
            </w:r>
          </w:p>
        </w:tc>
      </w:tr>
      <w:tr w14:paraId="78C19A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vAlign w:val="center"/>
          </w:tcPr>
          <w:p w14:paraId="47F4ABFC">
            <w:pPr>
              <w:spacing w:line="480" w:lineRule="atLeast"/>
              <w:jc w:val="center"/>
            </w:pPr>
            <w:r>
              <w:rPr>
                <w:sz w:val="21"/>
                <w:szCs w:val="21"/>
              </w:rPr>
              <w:t>步数/调用</w:t>
            </w:r>
          </w:p>
        </w:tc>
        <w:tc>
          <w:tcPr>
            <w:tcW w:w="1902" w:type="dxa"/>
            <w:vAlign w:val="center"/>
          </w:tcPr>
          <w:p w14:paraId="7BE59E9F">
            <w:pPr>
              <w:spacing w:line="480" w:lineRule="atLeast"/>
            </w:pPr>
            <w:r>
              <w:rPr>
                <w:sz w:val="21"/>
                <w:szCs w:val="21"/>
              </w:rPr>
              <w:t>295/299</w:t>
            </w:r>
          </w:p>
        </w:tc>
        <w:tc>
          <w:tcPr>
            <w:tcW w:w="4243" w:type="dxa"/>
            <w:vAlign w:val="center"/>
          </w:tcPr>
          <w:p w14:paraId="7E703039">
            <w:pPr>
              <w:spacing w:line="480" w:lineRule="atLeast"/>
            </w:pPr>
            <w:r>
              <w:rPr>
                <w:sz w:val="21"/>
                <w:szCs w:val="21"/>
              </w:rPr>
              <w:t>205/225</w:t>
            </w:r>
          </w:p>
        </w:tc>
      </w:tr>
      <w:tr w14:paraId="134CF8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vAlign w:val="center"/>
          </w:tcPr>
          <w:p w14:paraId="5B48BB05">
            <w:pPr>
              <w:spacing w:line="480" w:lineRule="atLeast"/>
              <w:jc w:val="center"/>
            </w:pPr>
            <w:r>
              <w:rPr>
                <w:sz w:val="21"/>
                <w:szCs w:val="21"/>
              </w:rPr>
              <w:t>无出处数值（终局）</w:t>
            </w:r>
          </w:p>
        </w:tc>
        <w:tc>
          <w:tcPr>
            <w:tcW w:w="1902" w:type="dxa"/>
            <w:vAlign w:val="center"/>
          </w:tcPr>
          <w:p w14:paraId="08A39090">
            <w:pPr>
              <w:spacing w:line="480" w:lineRule="atLeast"/>
            </w:pPr>
            <w:r>
              <w:rPr>
                <w:sz w:val="21"/>
                <w:szCs w:val="21"/>
              </w:rPr>
              <w:t>5</w:t>
            </w:r>
          </w:p>
        </w:tc>
        <w:tc>
          <w:tcPr>
            <w:tcW w:w="4243" w:type="dxa"/>
            <w:vAlign w:val="center"/>
          </w:tcPr>
          <w:p w14:paraId="2887D0F8">
            <w:pPr>
              <w:spacing w:line="480" w:lineRule="atLeast"/>
            </w:pPr>
            <w:r>
              <w:rPr>
                <w:sz w:val="21"/>
                <w:szCs w:val="21"/>
              </w:rPr>
              <w:t>0</w:t>
            </w:r>
          </w:p>
        </w:tc>
      </w:tr>
      <w:tr w14:paraId="1A79EB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vAlign w:val="center"/>
          </w:tcPr>
          <w:p w14:paraId="2A62B65E">
            <w:pPr>
              <w:spacing w:line="480" w:lineRule="atLeast"/>
              <w:jc w:val="center"/>
            </w:pPr>
            <w:r>
              <w:rPr>
                <w:sz w:val="21"/>
                <w:szCs w:val="21"/>
              </w:rPr>
              <w:t>计数矛盾</w:t>
            </w:r>
          </w:p>
        </w:tc>
        <w:tc>
          <w:tcPr>
            <w:tcW w:w="1902" w:type="dxa"/>
            <w:vAlign w:val="center"/>
          </w:tcPr>
          <w:p w14:paraId="00CFC7D5">
            <w:pPr>
              <w:spacing w:line="480" w:lineRule="atLeast"/>
            </w:pPr>
            <w:r>
              <w:rPr>
                <w:sz w:val="21"/>
                <w:szCs w:val="21"/>
              </w:rPr>
              <w:t>13 vs 9，未修复</w:t>
            </w:r>
          </w:p>
        </w:tc>
        <w:tc>
          <w:tcPr>
            <w:tcW w:w="4243" w:type="dxa"/>
            <w:vAlign w:val="center"/>
          </w:tcPr>
          <w:p w14:paraId="06E7E8F4">
            <w:pPr>
              <w:spacing w:line="480" w:lineRule="atLeast"/>
            </w:pPr>
            <w:r>
              <w:rPr>
                <w:sz w:val="21"/>
                <w:szCs w:val="21"/>
              </w:rPr>
              <w:t>405/516 口径自查通过</w:t>
            </w:r>
          </w:p>
        </w:tc>
      </w:tr>
      <w:tr w14:paraId="62540D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vAlign w:val="center"/>
          </w:tcPr>
          <w:p w14:paraId="4C429A69">
            <w:pPr>
              <w:spacing w:line="480" w:lineRule="atLeast"/>
              <w:jc w:val="center"/>
            </w:pPr>
            <w:r>
              <w:rPr>
                <w:sz w:val="21"/>
                <w:szCs w:val="21"/>
              </w:rPr>
              <w:t>离网格留出验证</w:t>
            </w:r>
          </w:p>
        </w:tc>
        <w:tc>
          <w:tcPr>
            <w:tcW w:w="1902" w:type="dxa"/>
            <w:vAlign w:val="center"/>
          </w:tcPr>
          <w:p w14:paraId="588D733E">
            <w:pPr>
              <w:spacing w:line="480" w:lineRule="atLeast"/>
            </w:pPr>
            <w:r>
              <w:rPr>
                <w:sz w:val="21"/>
                <w:szCs w:val="21"/>
              </w:rPr>
              <w:t>无</w:t>
            </w:r>
          </w:p>
        </w:tc>
        <w:tc>
          <w:tcPr>
            <w:tcW w:w="4243" w:type="dxa"/>
            <w:vAlign w:val="center"/>
          </w:tcPr>
          <w:p w14:paraId="71CB0774">
            <w:pPr>
              <w:spacing w:line="480" w:lineRule="atLeast"/>
            </w:pPr>
            <w:r>
              <w:rPr>
                <w:sz w:val="21"/>
                <w:szCs w:val="21"/>
              </w:rPr>
              <w:t>6 点（第一轮冻结模型），MAPE=16.5%</w:t>
            </w:r>
          </w:p>
        </w:tc>
      </w:tr>
      <w:tr w14:paraId="326124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33" w:type="dxa"/>
            <w:vAlign w:val="center"/>
          </w:tcPr>
          <w:p w14:paraId="0DE3A895">
            <w:pPr>
              <w:spacing w:line="480" w:lineRule="atLeast"/>
              <w:jc w:val="center"/>
            </w:pPr>
            <w:r>
              <w:rPr>
                <w:sz w:val="21"/>
                <w:szCs w:val="21"/>
              </w:rPr>
              <w:t>审稿问题的处置</w:t>
            </w:r>
          </w:p>
        </w:tc>
        <w:tc>
          <w:tcPr>
            <w:tcW w:w="1902" w:type="dxa"/>
            <w:vAlign w:val="center"/>
          </w:tcPr>
          <w:p w14:paraId="68E9D09D">
            <w:pPr>
              <w:spacing w:line="480" w:lineRule="atLeast"/>
            </w:pPr>
            <w:r>
              <w:rPr>
                <w:sz w:val="21"/>
                <w:szCs w:val="21"/>
              </w:rPr>
              <w:t>仅做文本层面修订</w:t>
            </w:r>
          </w:p>
        </w:tc>
        <w:tc>
          <w:tcPr>
            <w:tcW w:w="4243" w:type="dxa"/>
            <w:vAlign w:val="center"/>
          </w:tcPr>
          <w:p w14:paraId="33361C4B">
            <w:pPr>
              <w:spacing w:line="480" w:lineRule="atLeast"/>
            </w:pPr>
            <w:r>
              <w:rPr>
                <w:sz w:val="21"/>
                <w:szCs w:val="21"/>
              </w:rPr>
              <w:t>退回路由退回实验重取数据</w:t>
            </w:r>
          </w:p>
        </w:tc>
      </w:tr>
    </w:tbl>
    <w:p w14:paraId="13D6FDEA">
      <w:pPr>
        <w:pStyle w:val="2"/>
      </w:pPr>
      <w:bookmarkStart w:id="30" w:name="_Toc15506"/>
      <w:r>
        <w:t>5. 消融实验与模块有效性分析</w:t>
      </w:r>
      <w:bookmarkEnd w:id="30"/>
    </w:p>
    <w:p w14:paraId="0607313C">
      <w:pPr>
        <w:spacing w:line="480" w:lineRule="exact"/>
        <w:ind w:firstLine="560" w:firstLineChars="200"/>
      </w:pPr>
      <w:r>
        <w:t>消融实验按 3.4 节的单一变量原则执行：每个配置与基线只差一个模块（唯一例外是"知识供给归零"，它同时关闭本地知识库与在线检索两种知识载体，解读时按条件效应而非单模块效应处理，见 5.4.3 节），同一意图、同一种子、同一预算。DDDA 模块消融基于基线运行的 516 点数据离线重跑（无需新的智能体运行）；其余配置各执行一次完整的智能体运行。本章以两类证据呈现各模块的贡献：过程指标（终态、步数、审稿轮次、无出处数值——论文中无法溯源到任何工具记录的数值个数、引文问题——参考文献存在缺陷的条数，按未检索验证、出版信息错误、占位条目分类计数、验证误差，全部从运行留痕机械提取）与产出定量评分（评分模型按附录 D 的统一量表对最终论文盲评，评分者不知论文所属配置）。过程指标度量研究做得怎样，评分度量交付物本身质量如何，两者互补，5.5 节汇总。</w:t>
      </w:r>
    </w:p>
    <w:p w14:paraId="4D133E71">
      <w:pPr>
        <w:pStyle w:val="3"/>
      </w:pPr>
      <w:bookmarkStart w:id="31" w:name="_Toc27986"/>
      <w:r>
        <w:t>5.1 基座模型对照</w:t>
      </w:r>
      <w:bookmarkEnd w:id="31"/>
    </w:p>
    <w:p w14:paraId="66583C3E">
      <w:pPr>
        <w:spacing w:line="480" w:lineRule="exact"/>
        <w:ind w:firstLine="560" w:firstLineChars="200"/>
      </w:pPr>
      <w:r>
        <w:t>基座对照覆盖三类模型：国产高档（GLM-5.3，即基线）、国产低档（DeepSeek-V4-Flash）与国外高档（gpt-5.6-sol，经 OpenAI 兼容网关路由），审稿模型均保持 DeepSeek-V4-Pro 不变。"高档/低档"指选型时各服务商公开定位的设计口径，不是统一基准上的普遍排序，本章结论仅针对这三个具体模型。表 5.1 给出三档的过程指标与评分。</w:t>
      </w:r>
    </w:p>
    <w:p w14:paraId="626FEA27">
      <w:pPr>
        <w:pStyle w:val="11"/>
        <w:keepNext/>
        <w:jc w:val="center"/>
      </w:pPr>
      <w:r>
        <w:t>表 5.1 基座模型三档对照（同一意图/种子/预算；定量评分为评分模型对论文的盲评，总分 16）</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51"/>
        <w:gridCol w:w="2933"/>
        <w:gridCol w:w="2019"/>
        <w:gridCol w:w="2175"/>
      </w:tblGrid>
      <w:tr w14:paraId="345F82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151" w:type="dxa"/>
            <w:tcBorders>
              <w:bottom w:val="single" w:color="auto" w:sz="4" w:space="0"/>
            </w:tcBorders>
            <w:vAlign w:val="center"/>
          </w:tcPr>
          <w:p w14:paraId="75EB67F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指标</w:t>
            </w:r>
          </w:p>
        </w:tc>
        <w:tc>
          <w:tcPr>
            <w:tcW w:w="2933" w:type="dxa"/>
            <w:tcBorders>
              <w:bottom w:val="single" w:color="auto" w:sz="4" w:space="0"/>
            </w:tcBorders>
            <w:vAlign w:val="center"/>
          </w:tcPr>
          <w:p w14:paraId="77DF094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GLM-5.3（国产高档/基线）</w:t>
            </w:r>
          </w:p>
        </w:tc>
        <w:tc>
          <w:tcPr>
            <w:tcW w:w="2019" w:type="dxa"/>
            <w:tcBorders>
              <w:bottom w:val="single" w:color="auto" w:sz="4" w:space="0"/>
            </w:tcBorders>
            <w:vAlign w:val="center"/>
          </w:tcPr>
          <w:p w14:paraId="7D3E234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DeepSeek-V4-Flash（国产低档）</w:t>
            </w:r>
          </w:p>
        </w:tc>
        <w:tc>
          <w:tcPr>
            <w:tcW w:w="2175" w:type="dxa"/>
            <w:tcBorders>
              <w:bottom w:val="single" w:color="auto" w:sz="4" w:space="0"/>
            </w:tcBorders>
            <w:vAlign w:val="center"/>
          </w:tcPr>
          <w:p w14:paraId="4D71182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gpt-5.6-sol（国外高档）</w:t>
            </w:r>
          </w:p>
        </w:tc>
      </w:tr>
      <w:tr w14:paraId="474D30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tcBorders>
              <w:top w:val="single" w:color="auto" w:sz="4" w:space="0"/>
            </w:tcBorders>
            <w:vAlign w:val="center"/>
          </w:tcPr>
          <w:p w14:paraId="69B184F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终态</w:t>
            </w:r>
          </w:p>
        </w:tc>
        <w:tc>
          <w:tcPr>
            <w:tcW w:w="2933" w:type="dxa"/>
            <w:tcBorders>
              <w:top w:val="single" w:color="auto" w:sz="4" w:space="0"/>
            </w:tcBorders>
            <w:vAlign w:val="center"/>
          </w:tcPr>
          <w:p w14:paraId="4770011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通过审稿</w:t>
            </w:r>
          </w:p>
        </w:tc>
        <w:tc>
          <w:tcPr>
            <w:tcW w:w="2019" w:type="dxa"/>
            <w:tcBorders>
              <w:top w:val="single" w:color="auto" w:sz="4" w:space="0"/>
            </w:tcBorders>
            <w:vAlign w:val="center"/>
          </w:tcPr>
          <w:p w14:paraId="5E92C04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通过审稿</w:t>
            </w:r>
          </w:p>
        </w:tc>
        <w:tc>
          <w:tcPr>
            <w:tcW w:w="2175" w:type="dxa"/>
            <w:tcBorders>
              <w:top w:val="single" w:color="auto" w:sz="4" w:space="0"/>
            </w:tcBorders>
            <w:vAlign w:val="center"/>
          </w:tcPr>
          <w:p w14:paraId="21F3F60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通过审稿</w:t>
            </w:r>
          </w:p>
        </w:tc>
      </w:tr>
      <w:tr w14:paraId="20F4FE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vAlign w:val="center"/>
          </w:tcPr>
          <w:p w14:paraId="5D4A500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步数 / 工具调用</w:t>
            </w:r>
          </w:p>
        </w:tc>
        <w:tc>
          <w:tcPr>
            <w:tcW w:w="2933" w:type="dxa"/>
            <w:vAlign w:val="center"/>
          </w:tcPr>
          <w:p w14:paraId="757E342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205 / 225</w:t>
            </w:r>
          </w:p>
        </w:tc>
        <w:tc>
          <w:tcPr>
            <w:tcW w:w="2019" w:type="dxa"/>
            <w:vAlign w:val="center"/>
          </w:tcPr>
          <w:p w14:paraId="12C5345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207 / 193</w:t>
            </w:r>
          </w:p>
        </w:tc>
        <w:tc>
          <w:tcPr>
            <w:tcW w:w="2175" w:type="dxa"/>
            <w:vAlign w:val="center"/>
          </w:tcPr>
          <w:p w14:paraId="50ABBDC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107 / 116</w:t>
            </w:r>
          </w:p>
        </w:tc>
      </w:tr>
      <w:tr w14:paraId="730965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vAlign w:val="center"/>
          </w:tcPr>
          <w:p w14:paraId="2B3ED7A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审稿</w:t>
            </w:r>
          </w:p>
        </w:tc>
        <w:tc>
          <w:tcPr>
            <w:tcW w:w="2933" w:type="dxa"/>
            <w:vAlign w:val="center"/>
          </w:tcPr>
          <w:p w14:paraId="652C849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首轮驳回（4 项），修订后通过</w:t>
            </w:r>
          </w:p>
        </w:tc>
        <w:tc>
          <w:tcPr>
            <w:tcW w:w="2019" w:type="dxa"/>
            <w:vAlign w:val="center"/>
          </w:tcPr>
          <w:p w14:paraId="4405D5D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首轮驳回（4 项），修订后通过</w:t>
            </w:r>
          </w:p>
        </w:tc>
        <w:tc>
          <w:tcPr>
            <w:tcW w:w="2175" w:type="dxa"/>
            <w:vAlign w:val="center"/>
          </w:tcPr>
          <w:p w14:paraId="1A0E920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首轮驳回（溯源披露类），修订后通过</w:t>
            </w:r>
          </w:p>
        </w:tc>
      </w:tr>
      <w:tr w14:paraId="2E4640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vAlign w:val="center"/>
          </w:tcPr>
          <w:p w14:paraId="6AC57D6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无出处数值（终局）</w:t>
            </w:r>
          </w:p>
        </w:tc>
        <w:tc>
          <w:tcPr>
            <w:tcW w:w="2933" w:type="dxa"/>
            <w:vAlign w:val="center"/>
          </w:tcPr>
          <w:p w14:paraId="161147F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w:t>
            </w:r>
          </w:p>
        </w:tc>
        <w:tc>
          <w:tcPr>
            <w:tcW w:w="2019" w:type="dxa"/>
            <w:vAlign w:val="center"/>
          </w:tcPr>
          <w:p w14:paraId="7302E40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w:t>
            </w:r>
          </w:p>
        </w:tc>
        <w:tc>
          <w:tcPr>
            <w:tcW w:w="2175" w:type="dxa"/>
            <w:vAlign w:val="center"/>
          </w:tcPr>
          <w:p w14:paraId="58C29D7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w:t>
            </w:r>
          </w:p>
        </w:tc>
      </w:tr>
      <w:tr w14:paraId="477769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vAlign w:val="center"/>
          </w:tcPr>
          <w:p w14:paraId="367AFA3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独立验证</w:t>
            </w:r>
          </w:p>
        </w:tc>
        <w:tc>
          <w:tcPr>
            <w:tcW w:w="2933" w:type="dxa"/>
            <w:vAlign w:val="center"/>
          </w:tcPr>
          <w:p w14:paraId="178D169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6 点离网格留出（第一轮冻结模型），MAPE 16.5%</w:t>
            </w:r>
          </w:p>
        </w:tc>
        <w:tc>
          <w:tcPr>
            <w:tcW w:w="2019" w:type="dxa"/>
            <w:vAlign w:val="center"/>
          </w:tcPr>
          <w:p w14:paraId="438AC4A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w:t>
            </w:r>
          </w:p>
        </w:tc>
        <w:tc>
          <w:tcPr>
            <w:tcW w:w="2175" w:type="dxa"/>
            <w:vAlign w:val="center"/>
          </w:tcPr>
          <w:p w14:paraId="6966142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w:t>
            </w:r>
          </w:p>
        </w:tc>
      </w:tr>
      <w:tr w14:paraId="016144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51" w:type="dxa"/>
            <w:vAlign w:val="center"/>
          </w:tcPr>
          <w:p w14:paraId="6D0CE33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定量评分（总分）</w:t>
            </w:r>
          </w:p>
        </w:tc>
        <w:tc>
          <w:tcPr>
            <w:tcW w:w="2933" w:type="dxa"/>
            <w:vAlign w:val="center"/>
          </w:tcPr>
          <w:p w14:paraId="54DC333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15</w:t>
            </w:r>
          </w:p>
        </w:tc>
        <w:tc>
          <w:tcPr>
            <w:tcW w:w="2019" w:type="dxa"/>
            <w:vAlign w:val="center"/>
          </w:tcPr>
          <w:p w14:paraId="1DD4F43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10</w:t>
            </w:r>
          </w:p>
        </w:tc>
        <w:tc>
          <w:tcPr>
            <w:tcW w:w="2175" w:type="dxa"/>
            <w:vAlign w:val="center"/>
          </w:tcPr>
          <w:p w14:paraId="2A6E083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10</w:t>
            </w:r>
          </w:p>
        </w:tc>
      </w:tr>
    </w:tbl>
    <w:p w14:paraId="320D3DA4">
      <w:pPr>
        <w:spacing w:line="480" w:lineRule="exact"/>
        <w:ind w:firstLine="560" w:firstLineChars="200"/>
      </w:pPr>
      <w:r>
        <w:t>三个模型全部完成完整研究流程并通过审稿、无出处数值全零——在带护栏的架构（计划门、账本、审稿门、数值审计）下，国产低档与国外模型也能完成完整研究循环，基座能力的梯度响应在终态层面未显现。定量评分则呈现梯度响应：国产低档与国外两个模型均落后基线 5 分，差距集中在 D1（科学实质）与 D2（证据与验证）两个维度（分维明细见表 5.7）——两个配置均未完成训练集之外的独立验证，发现的实质性也偏弱。</w:t>
      </w:r>
    </w:p>
    <w:p w14:paraId="4A186B27">
      <w:pPr>
        <w:spacing w:line="480" w:lineRule="exact"/>
        <w:ind w:firstLine="560" w:firstLineChars="200"/>
      </w:pPr>
      <w:r>
        <w:t>两个配置的弱因并不相同。DeepSeek-V4-Flash 预算完整（572 工况连续运行），其 F 指数符号对立的体系化构成实质贡献，但未安排验证环节；第一轮审稿驳回 4 项——能量分配比判据过度声明（支撑仅 7 个 Γ≤5 的点）、4 个设计值无工具记录出处、表内计数与声称总数不符、摘要与正文指数范围不一致——第二轮全部修复后过审，护栏使低档模型得以收敛。gpt-5.6-sol 以 107 步走完全部流程（三个基座中最短），首轮驳回的是溯源与披露类问题（最终采用的重跑数字未先入账本、两种残差清洗设置未在论文中同时披露），修订后二轮通过；其终稿的数值纪律甚至最好（数值审计 29 个小数零无出处，盲评严谨维度满分：计数四处可复算、摘要舍入值与正文全精度值一致），但科学内容最薄：112 工况只做单域全局拟合、未尝试自动分区、未安排任何训练集外验证，论文自限为"采样域内的响应面汇总"，且公式与正文直接粘贴 16 位未舍入系数。为分离模型因素与执行环境因素，该配置在干净环境下独立重跑了一次（首次运行因外部网关多次中断作废），低分在干净环境下复现——与基线（国产高档）的差距因此主要归于模型的研究决策能力，而非运行事故。还需说明两组数字的口径：基线 16.5%（第一轮冻结模型的 6 点域内离网格留出）与关闭审稿门 38.2%（该运行自身模型的 10 点离网格验证）来自两次独立运行、两个不同的验证集，是架构层面的受控对照（n=1），不是同一篇论文拨动开关的差值，应在此口径下理解 2.3 倍的差距。还需说明：DeepSeek-V4-Flash 与审稿模型 DeepSeek-V4-Pro 同厂不同档，异源性弱于其他配置。</w:t>
      </w:r>
    </w:p>
    <w:p w14:paraId="1E89DA7B">
      <w:pPr>
        <w:pStyle w:val="3"/>
      </w:pPr>
      <w:bookmarkStart w:id="32" w:name="_Toc17514"/>
      <w:r>
        <w:t>5.2 外部文献检索的作用</w:t>
      </w:r>
      <w:bookmarkEnd w:id="32"/>
    </w:p>
    <w:p w14:paraId="1887A2F1">
      <w:pPr>
        <w:spacing w:line="480" w:lineRule="exact"/>
        <w:ind w:firstLine="560" w:firstLineChars="200"/>
      </w:pPr>
      <w:r>
        <w:t>文献检索消融禁用全部外部检索与全文精读工具（本地知识库保留——按 2.4 节，领域知识供给的本地知识库与在线检索是同一功能的两种载体，一次消融只动其一）。表 5.2 对照基线与禁用文献检索配置。</w:t>
      </w:r>
    </w:p>
    <w:p w14:paraId="61DD45D3">
      <w:pPr>
        <w:pStyle w:val="11"/>
        <w:keepNext/>
        <w:jc w:val="center"/>
      </w:pPr>
      <w:r>
        <w:t>表 5.2 文献检索消融对照（禁用文献检索：禁用在线文献检索、查新、调研子代理与全文获取精读）</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206"/>
        <w:gridCol w:w="3452"/>
        <w:gridCol w:w="3620"/>
      </w:tblGrid>
      <w:tr w14:paraId="6A047F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206" w:type="dxa"/>
            <w:tcBorders>
              <w:bottom w:val="single" w:color="auto" w:sz="4" w:space="0"/>
            </w:tcBorders>
            <w:vAlign w:val="center"/>
          </w:tcPr>
          <w:p w14:paraId="768087D5">
            <w:pPr>
              <w:spacing w:line="480" w:lineRule="atLeast"/>
              <w:jc w:val="center"/>
            </w:pPr>
            <w:r>
              <w:rPr>
                <w:b/>
                <w:sz w:val="21"/>
                <w:szCs w:val="21"/>
              </w:rPr>
              <w:t>指标</w:t>
            </w:r>
          </w:p>
        </w:tc>
        <w:tc>
          <w:tcPr>
            <w:tcW w:w="3452" w:type="dxa"/>
            <w:tcBorders>
              <w:bottom w:val="single" w:color="auto" w:sz="4" w:space="0"/>
            </w:tcBorders>
            <w:vAlign w:val="center"/>
          </w:tcPr>
          <w:p w14:paraId="1672B411">
            <w:pPr>
              <w:spacing w:line="480" w:lineRule="atLeast"/>
              <w:jc w:val="center"/>
            </w:pPr>
            <w:r>
              <w:rPr>
                <w:b/>
                <w:sz w:val="21"/>
                <w:szCs w:val="21"/>
              </w:rPr>
              <w:t>基线</w:t>
            </w:r>
          </w:p>
        </w:tc>
        <w:tc>
          <w:tcPr>
            <w:tcW w:w="3620" w:type="dxa"/>
            <w:tcBorders>
              <w:bottom w:val="single" w:color="auto" w:sz="4" w:space="0"/>
            </w:tcBorders>
            <w:vAlign w:val="center"/>
          </w:tcPr>
          <w:p w14:paraId="42AED604">
            <w:pPr>
              <w:spacing w:line="480" w:lineRule="atLeast"/>
              <w:jc w:val="center"/>
            </w:pPr>
            <w:r>
              <w:rPr>
                <w:b/>
                <w:sz w:val="21"/>
                <w:szCs w:val="21"/>
              </w:rPr>
              <w:t>禁用文献检索</w:t>
            </w:r>
          </w:p>
        </w:tc>
      </w:tr>
      <w:tr w14:paraId="4BF933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tcBorders>
              <w:top w:val="single" w:color="auto" w:sz="4" w:space="0"/>
            </w:tcBorders>
            <w:vAlign w:val="center"/>
          </w:tcPr>
          <w:p w14:paraId="2540FA83">
            <w:pPr>
              <w:spacing w:line="480" w:lineRule="atLeast"/>
              <w:jc w:val="center"/>
            </w:pPr>
            <w:r>
              <w:rPr>
                <w:sz w:val="21"/>
                <w:szCs w:val="21"/>
              </w:rPr>
              <w:t>终态</w:t>
            </w:r>
          </w:p>
        </w:tc>
        <w:tc>
          <w:tcPr>
            <w:tcW w:w="3452" w:type="dxa"/>
            <w:tcBorders>
              <w:top w:val="single" w:color="auto" w:sz="4" w:space="0"/>
            </w:tcBorders>
            <w:vAlign w:val="center"/>
          </w:tcPr>
          <w:p w14:paraId="71191CC1">
            <w:pPr>
              <w:spacing w:line="480" w:lineRule="atLeast"/>
            </w:pPr>
            <w:r>
              <w:rPr>
                <w:sz w:val="21"/>
                <w:szCs w:val="21"/>
              </w:rPr>
              <w:t>通过审稿</w:t>
            </w:r>
          </w:p>
        </w:tc>
        <w:tc>
          <w:tcPr>
            <w:tcW w:w="3620" w:type="dxa"/>
            <w:tcBorders>
              <w:top w:val="single" w:color="auto" w:sz="4" w:space="0"/>
            </w:tcBorders>
            <w:vAlign w:val="center"/>
          </w:tcPr>
          <w:p w14:paraId="6A891D0B">
            <w:pPr>
              <w:spacing w:line="480" w:lineRule="atLeast"/>
            </w:pPr>
            <w:r>
              <w:rPr>
                <w:sz w:val="21"/>
                <w:szCs w:val="21"/>
              </w:rPr>
              <w:t>两轮驳回</w:t>
            </w:r>
          </w:p>
        </w:tc>
      </w:tr>
      <w:tr w14:paraId="7894D7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vAlign w:val="center"/>
          </w:tcPr>
          <w:p w14:paraId="71981F56">
            <w:pPr>
              <w:spacing w:line="480" w:lineRule="atLeast"/>
              <w:jc w:val="center"/>
            </w:pPr>
            <w:r>
              <w:rPr>
                <w:sz w:val="21"/>
                <w:szCs w:val="21"/>
              </w:rPr>
              <w:t>引文问题</w:t>
            </w:r>
          </w:p>
        </w:tc>
        <w:tc>
          <w:tcPr>
            <w:tcW w:w="3452" w:type="dxa"/>
            <w:vAlign w:val="center"/>
          </w:tcPr>
          <w:p w14:paraId="188018AF">
            <w:pPr>
              <w:spacing w:line="480" w:lineRule="atLeast"/>
            </w:pPr>
            <w:r>
              <w:rPr>
                <w:sz w:val="21"/>
                <w:szCs w:val="21"/>
              </w:rPr>
              <w:t>0（10 篇全部可溯源至检索记录）</w:t>
            </w:r>
          </w:p>
        </w:tc>
        <w:tc>
          <w:tcPr>
            <w:tcW w:w="3620" w:type="dxa"/>
            <w:vAlign w:val="center"/>
          </w:tcPr>
          <w:p w14:paraId="102BFDAC">
            <w:pPr>
              <w:spacing w:line="480" w:lineRule="atLeast"/>
            </w:pPr>
            <w:r>
              <w:rPr>
                <w:sz w:val="21"/>
                <w:szCs w:val="21"/>
              </w:rPr>
              <w:t>1 条二手转引无检索记录，两轮未修复</w:t>
            </w:r>
          </w:p>
        </w:tc>
      </w:tr>
      <w:tr w14:paraId="29ED14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vAlign w:val="center"/>
          </w:tcPr>
          <w:p w14:paraId="705E1004">
            <w:pPr>
              <w:spacing w:line="480" w:lineRule="atLeast"/>
              <w:jc w:val="center"/>
            </w:pPr>
            <w:r>
              <w:rPr>
                <w:sz w:val="21"/>
                <w:szCs w:val="21"/>
              </w:rPr>
              <w:t>数值纪律</w:t>
            </w:r>
          </w:p>
        </w:tc>
        <w:tc>
          <w:tcPr>
            <w:tcW w:w="3452" w:type="dxa"/>
            <w:vAlign w:val="center"/>
          </w:tcPr>
          <w:p w14:paraId="7DA9B78D">
            <w:pPr>
              <w:spacing w:line="480" w:lineRule="atLeast"/>
            </w:pPr>
            <w:r>
              <w:rPr>
                <w:sz w:val="21"/>
                <w:szCs w:val="21"/>
              </w:rPr>
              <w:t>0 无出处数值（30 小数）</w:t>
            </w:r>
          </w:p>
        </w:tc>
        <w:tc>
          <w:tcPr>
            <w:tcW w:w="3620" w:type="dxa"/>
            <w:vAlign w:val="center"/>
          </w:tcPr>
          <w:p w14:paraId="4D62C8E0">
            <w:pPr>
              <w:spacing w:line="480" w:lineRule="atLeast"/>
            </w:pPr>
            <w:r>
              <w:rPr>
                <w:sz w:val="21"/>
                <w:szCs w:val="21"/>
              </w:rPr>
              <w:t>0 无出处数值（69 小数）——未退化</w:t>
            </w:r>
          </w:p>
        </w:tc>
      </w:tr>
      <w:tr w14:paraId="6784D3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vAlign w:val="center"/>
          </w:tcPr>
          <w:p w14:paraId="44113CB4">
            <w:pPr>
              <w:spacing w:line="480" w:lineRule="atLeast"/>
              <w:jc w:val="center"/>
            </w:pPr>
            <w:r>
              <w:rPr>
                <w:sz w:val="21"/>
                <w:szCs w:val="21"/>
              </w:rPr>
              <w:t>留出验证</w:t>
            </w:r>
          </w:p>
        </w:tc>
        <w:tc>
          <w:tcPr>
            <w:tcW w:w="3452" w:type="dxa"/>
            <w:vAlign w:val="center"/>
          </w:tcPr>
          <w:p w14:paraId="684733C0">
            <w:pPr>
              <w:spacing w:line="480" w:lineRule="atLeast"/>
            </w:pPr>
            <w:r>
              <w:rPr>
                <w:sz w:val="21"/>
                <w:szCs w:val="21"/>
              </w:rPr>
              <w:t>6 点域内离网格（第一轮冻结模型），MAPE 16.5%</w:t>
            </w:r>
          </w:p>
        </w:tc>
        <w:tc>
          <w:tcPr>
            <w:tcW w:w="3620" w:type="dxa"/>
            <w:vAlign w:val="center"/>
          </w:tcPr>
          <w:p w14:paraId="33AD1004">
            <w:pPr>
              <w:spacing w:line="480" w:lineRule="atLeast"/>
            </w:pPr>
            <w:r>
              <w:rPr>
                <w:sz w:val="21"/>
                <w:szCs w:val="21"/>
              </w:rPr>
              <w:t>8 点离网格，MAPE 8.9%——未退化</w:t>
            </w:r>
          </w:p>
        </w:tc>
      </w:tr>
      <w:tr w14:paraId="44B815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vAlign w:val="center"/>
          </w:tcPr>
          <w:p w14:paraId="1437DA41">
            <w:pPr>
              <w:spacing w:line="480" w:lineRule="atLeast"/>
              <w:jc w:val="center"/>
            </w:pPr>
            <w:r>
              <w:rPr>
                <w:sz w:val="21"/>
                <w:szCs w:val="21"/>
              </w:rPr>
              <w:t>知识获取行为</w:t>
            </w:r>
          </w:p>
        </w:tc>
        <w:tc>
          <w:tcPr>
            <w:tcW w:w="3452" w:type="dxa"/>
            <w:vAlign w:val="center"/>
          </w:tcPr>
          <w:p w14:paraId="4512B8F0">
            <w:pPr>
              <w:spacing w:line="480" w:lineRule="atLeast"/>
            </w:pPr>
            <w:r>
              <w:rPr>
                <w:sz w:val="21"/>
                <w:szCs w:val="21"/>
              </w:rPr>
              <w:t>文献调用 25 次 + KB 5 次</w:t>
            </w:r>
          </w:p>
        </w:tc>
        <w:tc>
          <w:tcPr>
            <w:tcW w:w="3620" w:type="dxa"/>
            <w:vAlign w:val="center"/>
          </w:tcPr>
          <w:p w14:paraId="59E6421C">
            <w:pPr>
              <w:spacing w:line="480" w:lineRule="atLeast"/>
            </w:pPr>
            <w:r>
              <w:rPr>
                <w:sz w:val="21"/>
                <w:szCs w:val="21"/>
              </w:rPr>
              <w:t>文献 0 次 + KB 5 次（缺口挖掘与基准对照完整转向本地知识库）</w:t>
            </w:r>
          </w:p>
        </w:tc>
      </w:tr>
      <w:tr w14:paraId="30E913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06" w:type="dxa"/>
            <w:vAlign w:val="center"/>
          </w:tcPr>
          <w:p w14:paraId="338BD356">
            <w:pPr>
              <w:spacing w:line="480" w:lineRule="atLeast"/>
              <w:jc w:val="center"/>
            </w:pPr>
            <w:r>
              <w:rPr>
                <w:sz w:val="21"/>
                <w:szCs w:val="21"/>
              </w:rPr>
              <w:t>定量评分（总分）</w:t>
            </w:r>
          </w:p>
        </w:tc>
        <w:tc>
          <w:tcPr>
            <w:tcW w:w="3452" w:type="dxa"/>
            <w:vAlign w:val="center"/>
          </w:tcPr>
          <w:p w14:paraId="43F1E22F">
            <w:pPr>
              <w:spacing w:line="480" w:lineRule="atLeast"/>
            </w:pPr>
            <w:r>
              <w:rPr>
                <w:sz w:val="21"/>
                <w:szCs w:val="21"/>
              </w:rPr>
              <w:t>15</w:t>
            </w:r>
          </w:p>
        </w:tc>
        <w:tc>
          <w:tcPr>
            <w:tcW w:w="3620" w:type="dxa"/>
            <w:vAlign w:val="center"/>
          </w:tcPr>
          <w:p w14:paraId="4E02B32C">
            <w:pPr>
              <w:spacing w:line="480" w:lineRule="atLeast"/>
            </w:pPr>
            <w:r>
              <w:rPr>
                <w:sz w:val="21"/>
                <w:szCs w:val="21"/>
              </w:rPr>
              <w:t>14（差异在 D3：3 vs 2）</w:t>
            </w:r>
          </w:p>
        </w:tc>
      </w:tr>
    </w:tbl>
    <w:p w14:paraId="5DF53C6D">
      <w:pPr>
        <w:spacing w:line="480" w:lineRule="exact"/>
        <w:ind w:firstLine="560" w:firstLineChars="200"/>
      </w:pPr>
      <w:r>
        <w:t>结论分三层。其一，可验证的参考文献是外部检索不可替代的功能：无检索记录时参考文献只能出自模型记忆，无法核验的引文实际发生（终稿遗留 1 条），且独立盲评复现了这一发现——这直接验证了外部文献检索的核心价值。审稿门对该类缺陷的拦截是概率性而非穷尽的：第一轮中两条无检索记录条目（Rivas 等 2012、Grossman 等 1997 两条）被要求删除，而一条二手转引（Constantine 等 2017）两轮后仍未处理。其二，数值保真纪律不依赖外部文献检索：无出处数值为零、离网格验证照做，且盲评分与基线持平——行为准则与数值审计构成独立防线，文献断供影响的只是引用纪律（D3），不是科学内容（D1）与验证（D2）。其三，知识获取存在载体弹性：外部检索断供后，缺口挖掘与领域论证完整转向本地知识库（留有检索痕迹），但本地知识库不产出可引用的书目，替代是不完全的。附带观察：该配置自主选择了小得多的设计（108+96=204 工况对基线 516），研究依然自洽，工况预算的自主弹性被顺带展示。</w:t>
      </w:r>
    </w:p>
    <w:p w14:paraId="5743483C">
      <w:pPr>
        <w:pStyle w:val="3"/>
      </w:pPr>
      <w:bookmarkStart w:id="33" w:name="_Toc21382"/>
      <w:r>
        <w:t>5.3 自动分区机制对规律发现的贡献</w:t>
      </w:r>
      <w:bookmarkEnd w:id="33"/>
    </w:p>
    <w:p w14:paraId="69152B1F">
      <w:pPr>
        <w:spacing w:line="480" w:lineRule="exact"/>
        <w:ind w:firstLine="560" w:firstLineChars="200"/>
      </w:pPr>
      <w:r>
        <w:t>规律发现服务的核心机制是自动分区：对规律随参数区域变化的体系，先分区再逐域拟合应优于全局单一拟合。本节并非将规律发现服务移出智能体，而是以受控对照量化分区机制本身的贡献：在同一份数据（基线运行的 516 点）上比较"先分区、再逐域拟合"与"全局单域拟合"两种分析路径（拟合口径与基线一致）。若规律不随参数区域变化，两条路径应当等价；二者之差即分区的价值。结果见表 5.3 与图 5.1。</w:t>
      </w:r>
    </w:p>
    <w:p w14:paraId="431BDFAE">
      <w:pPr>
        <w:pStyle w:val="11"/>
        <w:keepNext/>
        <w:jc w:val="center"/>
      </w:pPr>
      <w:r>
        <w:t>表 5.3 分区拟合 vs 单域拟合与分辨率—精度权衡（516 点，</w:t>
      </w:r>
      <m:oMath>
        <m:sSub>
          <m:sSubPr/>
          <m:e>
            <m:r>
              <m:rPr/>
              <m:t>r</m:t>
            </m:r>
          </m:e>
          <m:sub>
            <m:r>
              <m:rPr/>
              <m:t>a</m:t>
            </m:r>
          </m:sub>
        </m:sSub>
      </m:oMath>
      <w:r>
        <w:t xml:space="preserve"> 为减法聚类半径；有效点数 = 516 − 模糊点 − 迭代残差清洗排除，δ* 仅在有效点上计算）</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020"/>
        <w:gridCol w:w="2538"/>
        <w:gridCol w:w="1020"/>
        <w:gridCol w:w="1361"/>
        <w:gridCol w:w="1361"/>
        <w:gridCol w:w="978"/>
      </w:tblGrid>
      <w:tr w14:paraId="67DDE4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020" w:type="dxa"/>
            <w:tcBorders>
              <w:bottom w:val="single" w:color="auto" w:sz="4" w:space="0"/>
            </w:tcBorders>
            <w:vAlign w:val="center"/>
          </w:tcPr>
          <w:p w14:paraId="3202F9BF">
            <w:pPr>
              <w:spacing w:line="480" w:lineRule="atLeast"/>
              <w:jc w:val="center"/>
            </w:pPr>
            <w:r>
              <w:rPr>
                <w:b/>
                <w:sz w:val="21"/>
                <w:szCs w:val="21"/>
              </w:rPr>
              <w:t>响应量</w:t>
            </w:r>
          </w:p>
        </w:tc>
        <w:tc>
          <w:tcPr>
            <w:tcW w:w="2538" w:type="dxa"/>
            <w:tcBorders>
              <w:bottom w:val="single" w:color="auto" w:sz="4" w:space="0"/>
            </w:tcBorders>
            <w:vAlign w:val="center"/>
          </w:tcPr>
          <w:p w14:paraId="5BD24A2D">
            <w:pPr>
              <w:spacing w:line="480" w:lineRule="atLeast"/>
              <w:jc w:val="center"/>
            </w:pPr>
            <w:r>
              <w:rPr>
                <w:b/>
                <w:sz w:val="21"/>
                <w:szCs w:val="21"/>
              </w:rPr>
              <w:t>条件</w:t>
            </w:r>
          </w:p>
        </w:tc>
        <w:tc>
          <w:tcPr>
            <w:tcW w:w="1020" w:type="dxa"/>
            <w:tcBorders>
              <w:bottom w:val="single" w:color="auto" w:sz="4" w:space="0"/>
            </w:tcBorders>
            <w:vAlign w:val="center"/>
          </w:tcPr>
          <w:p w14:paraId="31E5C6B7">
            <w:pPr>
              <w:spacing w:line="480" w:lineRule="atLeast"/>
              <w:jc w:val="center"/>
            </w:pPr>
            <w:r>
              <w:rPr>
                <w:b/>
                <w:sz w:val="21"/>
                <w:szCs w:val="21"/>
              </w:rPr>
              <w:t>子域数</w:t>
            </w:r>
          </w:p>
        </w:tc>
        <w:tc>
          <w:tcPr>
            <w:tcW w:w="1361" w:type="dxa"/>
            <w:tcBorders>
              <w:bottom w:val="single" w:color="auto" w:sz="4" w:space="0"/>
            </w:tcBorders>
            <w:vAlign w:val="center"/>
          </w:tcPr>
          <w:p w14:paraId="6E224B2F">
            <w:pPr>
              <w:spacing w:line="480" w:lineRule="atLeast"/>
              <w:jc w:val="center"/>
            </w:pPr>
            <w:r>
              <w:rPr>
                <w:b/>
                <w:sz w:val="21"/>
                <w:szCs w:val="21"/>
              </w:rPr>
              <w:t>模糊点数</w:t>
            </w:r>
          </w:p>
        </w:tc>
        <w:tc>
          <w:tcPr>
            <w:tcW w:w="1361" w:type="dxa"/>
            <w:tcBorders>
              <w:bottom w:val="single" w:color="auto" w:sz="4" w:space="0"/>
            </w:tcBorders>
            <w:vAlign w:val="center"/>
          </w:tcPr>
          <w:p w14:paraId="13DCDC8E">
            <w:pPr>
              <w:spacing w:line="480" w:lineRule="atLeast"/>
              <w:jc w:val="center"/>
            </w:pPr>
            <w:r>
              <w:rPr>
                <w:b/>
                <w:sz w:val="21"/>
                <w:szCs w:val="21"/>
              </w:rPr>
              <w:t>有效点数</w:t>
            </w:r>
          </w:p>
        </w:tc>
        <w:tc>
          <w:tcPr>
            <w:tcW w:w="978" w:type="dxa"/>
            <w:tcBorders>
              <w:bottom w:val="single" w:color="auto" w:sz="4" w:space="0"/>
            </w:tcBorders>
            <w:vAlign w:val="center"/>
          </w:tcPr>
          <w:p w14:paraId="713CCF4A">
            <w:pPr>
              <w:spacing w:line="480" w:lineRule="atLeast"/>
              <w:jc w:val="center"/>
            </w:pPr>
            <w:r>
              <w:rPr>
                <w:b/>
                <w:sz w:val="21"/>
                <w:szCs w:val="21"/>
              </w:rPr>
              <w:t>δ*</w:t>
            </w:r>
          </w:p>
        </w:tc>
      </w:tr>
      <w:tr w14:paraId="3767EF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tcBorders>
              <w:top w:val="single" w:color="auto" w:sz="4" w:space="0"/>
            </w:tcBorders>
            <w:vAlign w:val="center"/>
          </w:tcPr>
          <w:p w14:paraId="7B8F4B3F">
            <w:pPr>
              <w:spacing w:line="480" w:lineRule="atLeast"/>
              <w:jc w:val="center"/>
            </w:pPr>
            <w:r>
              <w:rPr>
                <w:sz w:val="21"/>
                <w:szCs w:val="21"/>
              </w:rPr>
              <w:t>eₖ*</w:t>
            </w:r>
          </w:p>
        </w:tc>
        <w:tc>
          <w:tcPr>
            <w:tcW w:w="2538" w:type="dxa"/>
            <w:tcBorders>
              <w:top w:val="single" w:color="auto" w:sz="4" w:space="0"/>
            </w:tcBorders>
            <w:vAlign w:val="center"/>
          </w:tcPr>
          <w:p w14:paraId="16C15585">
            <w:pPr>
              <w:spacing w:line="480" w:lineRule="atLeast"/>
            </w:pPr>
            <w:r>
              <w:rPr>
                <w:sz w:val="21"/>
                <w:szCs w:val="21"/>
              </w:rPr>
              <w:t>单域</w:t>
            </w:r>
          </w:p>
        </w:tc>
        <w:tc>
          <w:tcPr>
            <w:tcW w:w="1020" w:type="dxa"/>
            <w:tcBorders>
              <w:top w:val="single" w:color="auto" w:sz="4" w:space="0"/>
            </w:tcBorders>
            <w:vAlign w:val="center"/>
          </w:tcPr>
          <w:p w14:paraId="27989913">
            <w:pPr>
              <w:spacing w:line="480" w:lineRule="atLeast"/>
            </w:pPr>
            <w:r>
              <w:rPr>
                <w:sz w:val="21"/>
                <w:szCs w:val="21"/>
              </w:rPr>
              <w:t>1</w:t>
            </w:r>
          </w:p>
        </w:tc>
        <w:tc>
          <w:tcPr>
            <w:tcW w:w="1361" w:type="dxa"/>
            <w:tcBorders>
              <w:top w:val="single" w:color="auto" w:sz="4" w:space="0"/>
            </w:tcBorders>
            <w:vAlign w:val="center"/>
          </w:tcPr>
          <w:p w14:paraId="20C44E8D">
            <w:pPr>
              <w:spacing w:line="480" w:lineRule="atLeast"/>
            </w:pPr>
            <w:r>
              <w:rPr>
                <w:sz w:val="21"/>
                <w:szCs w:val="21"/>
              </w:rPr>
              <w:t>0</w:t>
            </w:r>
          </w:p>
        </w:tc>
        <w:tc>
          <w:tcPr>
            <w:tcW w:w="1361" w:type="dxa"/>
            <w:tcBorders>
              <w:top w:val="single" w:color="auto" w:sz="4" w:space="0"/>
            </w:tcBorders>
            <w:vAlign w:val="center"/>
          </w:tcPr>
          <w:p w14:paraId="01613757">
            <w:pPr>
              <w:spacing w:line="480" w:lineRule="atLeast"/>
            </w:pPr>
            <w:r>
              <w:rPr>
                <w:sz w:val="21"/>
                <w:szCs w:val="21"/>
              </w:rPr>
              <w:t>465</w:t>
            </w:r>
          </w:p>
        </w:tc>
        <w:tc>
          <w:tcPr>
            <w:tcW w:w="978" w:type="dxa"/>
            <w:tcBorders>
              <w:top w:val="single" w:color="auto" w:sz="4" w:space="0"/>
            </w:tcBorders>
            <w:vAlign w:val="center"/>
          </w:tcPr>
          <w:p w14:paraId="032F7225">
            <w:pPr>
              <w:spacing w:line="480" w:lineRule="atLeast"/>
            </w:pPr>
            <w:r>
              <w:rPr>
                <w:sz w:val="21"/>
                <w:szCs w:val="21"/>
              </w:rPr>
              <w:t>23.5%</w:t>
            </w:r>
          </w:p>
        </w:tc>
      </w:tr>
      <w:tr w14:paraId="36B6F3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vAlign w:val="center"/>
          </w:tcPr>
          <w:p w14:paraId="03242141">
            <w:pPr>
              <w:spacing w:line="480" w:lineRule="atLeast"/>
              <w:jc w:val="center"/>
            </w:pPr>
            <w:r>
              <w:rPr>
                <w:sz w:val="21"/>
                <w:szCs w:val="21"/>
              </w:rPr>
              <w:t>eₖ*</w:t>
            </w:r>
          </w:p>
        </w:tc>
        <w:tc>
          <w:tcPr>
            <w:tcW w:w="2538" w:type="dxa"/>
            <w:vAlign w:val="center"/>
          </w:tcPr>
          <w:p w14:paraId="531665F5">
            <w:pPr>
              <w:spacing w:line="480" w:lineRule="atLeast"/>
            </w:pPr>
            <w:r>
              <w:rPr>
                <w:sz w:val="21"/>
                <w:szCs w:val="21"/>
              </w:rPr>
              <w:t>自动（rₐ=0.3）</w:t>
            </w:r>
          </w:p>
        </w:tc>
        <w:tc>
          <w:tcPr>
            <w:tcW w:w="1020" w:type="dxa"/>
            <w:vAlign w:val="center"/>
          </w:tcPr>
          <w:p w14:paraId="2C982BDE">
            <w:pPr>
              <w:spacing w:line="480" w:lineRule="atLeast"/>
            </w:pPr>
            <w:r>
              <w:rPr>
                <w:sz w:val="21"/>
                <w:szCs w:val="21"/>
              </w:rPr>
              <w:t>2</w:t>
            </w:r>
          </w:p>
        </w:tc>
        <w:tc>
          <w:tcPr>
            <w:tcW w:w="1361" w:type="dxa"/>
            <w:vAlign w:val="center"/>
          </w:tcPr>
          <w:p w14:paraId="64521047">
            <w:pPr>
              <w:spacing w:line="480" w:lineRule="atLeast"/>
            </w:pPr>
            <w:r>
              <w:rPr>
                <w:sz w:val="21"/>
                <w:szCs w:val="21"/>
              </w:rPr>
              <w:t>91</w:t>
            </w:r>
          </w:p>
        </w:tc>
        <w:tc>
          <w:tcPr>
            <w:tcW w:w="1361" w:type="dxa"/>
            <w:vAlign w:val="center"/>
          </w:tcPr>
          <w:p w14:paraId="48128016">
            <w:pPr>
              <w:spacing w:line="480" w:lineRule="atLeast"/>
            </w:pPr>
            <w:r>
              <w:rPr>
                <w:sz w:val="21"/>
                <w:szCs w:val="21"/>
              </w:rPr>
              <w:t>384</w:t>
            </w:r>
          </w:p>
        </w:tc>
        <w:tc>
          <w:tcPr>
            <w:tcW w:w="978" w:type="dxa"/>
            <w:vAlign w:val="center"/>
          </w:tcPr>
          <w:p w14:paraId="0C725654">
            <w:pPr>
              <w:spacing w:line="480" w:lineRule="atLeast"/>
            </w:pPr>
            <w:r>
              <w:rPr>
                <w:sz w:val="21"/>
                <w:szCs w:val="21"/>
              </w:rPr>
              <w:t>21.1%</w:t>
            </w:r>
          </w:p>
        </w:tc>
      </w:tr>
      <w:tr w14:paraId="20E91C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vAlign w:val="center"/>
          </w:tcPr>
          <w:p w14:paraId="65D1A131">
            <w:pPr>
              <w:spacing w:line="480" w:lineRule="atLeast"/>
              <w:jc w:val="center"/>
            </w:pPr>
            <w:r>
              <w:rPr>
                <w:sz w:val="21"/>
                <w:szCs w:val="21"/>
              </w:rPr>
              <w:t>eₖ*</w:t>
            </w:r>
          </w:p>
        </w:tc>
        <w:tc>
          <w:tcPr>
            <w:tcW w:w="2538" w:type="dxa"/>
            <w:vAlign w:val="center"/>
          </w:tcPr>
          <w:p w14:paraId="0EEB4055">
            <w:pPr>
              <w:spacing w:line="480" w:lineRule="atLeast"/>
            </w:pPr>
            <w:r>
              <w:rPr>
                <w:sz w:val="21"/>
                <w:szCs w:val="21"/>
              </w:rPr>
              <w:t>自动（rₐ=0.1）</w:t>
            </w:r>
          </w:p>
        </w:tc>
        <w:tc>
          <w:tcPr>
            <w:tcW w:w="1020" w:type="dxa"/>
            <w:vAlign w:val="center"/>
          </w:tcPr>
          <w:p w14:paraId="781159B0">
            <w:pPr>
              <w:spacing w:line="480" w:lineRule="atLeast"/>
            </w:pPr>
            <w:r>
              <w:rPr>
                <w:sz w:val="21"/>
                <w:szCs w:val="21"/>
              </w:rPr>
              <w:t>5</w:t>
            </w:r>
          </w:p>
        </w:tc>
        <w:tc>
          <w:tcPr>
            <w:tcW w:w="1361" w:type="dxa"/>
            <w:vAlign w:val="center"/>
          </w:tcPr>
          <w:p w14:paraId="1C075E04">
            <w:pPr>
              <w:spacing w:line="480" w:lineRule="atLeast"/>
            </w:pPr>
            <w:r>
              <w:rPr>
                <w:sz w:val="21"/>
                <w:szCs w:val="21"/>
              </w:rPr>
              <w:t>232</w:t>
            </w:r>
          </w:p>
        </w:tc>
        <w:tc>
          <w:tcPr>
            <w:tcW w:w="1361" w:type="dxa"/>
            <w:vAlign w:val="center"/>
          </w:tcPr>
          <w:p w14:paraId="052D4B2D">
            <w:pPr>
              <w:spacing w:line="480" w:lineRule="atLeast"/>
            </w:pPr>
            <w:r>
              <w:rPr>
                <w:sz w:val="21"/>
                <w:szCs w:val="21"/>
              </w:rPr>
              <w:t>258</w:t>
            </w:r>
          </w:p>
        </w:tc>
        <w:tc>
          <w:tcPr>
            <w:tcW w:w="978" w:type="dxa"/>
            <w:vAlign w:val="center"/>
          </w:tcPr>
          <w:p w14:paraId="67D537C2">
            <w:pPr>
              <w:spacing w:line="480" w:lineRule="atLeast"/>
            </w:pPr>
            <w:r>
              <w:rPr>
                <w:sz w:val="21"/>
                <w:szCs w:val="21"/>
              </w:rPr>
              <w:t>18.2%</w:t>
            </w:r>
          </w:p>
        </w:tc>
      </w:tr>
      <w:tr w14:paraId="5DA960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vAlign w:val="center"/>
          </w:tcPr>
          <w:p w14:paraId="7F6E37D1">
            <w:pPr>
              <w:spacing w:line="480" w:lineRule="atLeast"/>
              <w:jc w:val="center"/>
            </w:pPr>
            <w:r>
              <w:rPr>
                <w:sz w:val="21"/>
                <w:szCs w:val="21"/>
              </w:rPr>
              <w:t>eₚ*</w:t>
            </w:r>
          </w:p>
        </w:tc>
        <w:tc>
          <w:tcPr>
            <w:tcW w:w="2538" w:type="dxa"/>
            <w:vAlign w:val="center"/>
          </w:tcPr>
          <w:p w14:paraId="65B359BD">
            <w:pPr>
              <w:spacing w:line="480" w:lineRule="atLeast"/>
            </w:pPr>
            <w:r>
              <w:rPr>
                <w:sz w:val="21"/>
                <w:szCs w:val="21"/>
              </w:rPr>
              <w:t>单域</w:t>
            </w:r>
          </w:p>
        </w:tc>
        <w:tc>
          <w:tcPr>
            <w:tcW w:w="1020" w:type="dxa"/>
            <w:vAlign w:val="center"/>
          </w:tcPr>
          <w:p w14:paraId="3369B43C">
            <w:pPr>
              <w:spacing w:line="480" w:lineRule="atLeast"/>
            </w:pPr>
            <w:r>
              <w:rPr>
                <w:sz w:val="21"/>
                <w:szCs w:val="21"/>
              </w:rPr>
              <w:t>1</w:t>
            </w:r>
          </w:p>
        </w:tc>
        <w:tc>
          <w:tcPr>
            <w:tcW w:w="1361" w:type="dxa"/>
            <w:vAlign w:val="center"/>
          </w:tcPr>
          <w:p w14:paraId="5D46F4BF">
            <w:pPr>
              <w:spacing w:line="480" w:lineRule="atLeast"/>
            </w:pPr>
            <w:r>
              <w:rPr>
                <w:sz w:val="21"/>
                <w:szCs w:val="21"/>
              </w:rPr>
              <w:t>0</w:t>
            </w:r>
          </w:p>
        </w:tc>
        <w:tc>
          <w:tcPr>
            <w:tcW w:w="1361" w:type="dxa"/>
            <w:vAlign w:val="center"/>
          </w:tcPr>
          <w:p w14:paraId="2E7E7BD7">
            <w:pPr>
              <w:spacing w:line="480" w:lineRule="atLeast"/>
            </w:pPr>
            <w:r>
              <w:rPr>
                <w:sz w:val="21"/>
                <w:szCs w:val="21"/>
              </w:rPr>
              <w:t>465</w:t>
            </w:r>
          </w:p>
        </w:tc>
        <w:tc>
          <w:tcPr>
            <w:tcW w:w="978" w:type="dxa"/>
            <w:vAlign w:val="center"/>
          </w:tcPr>
          <w:p w14:paraId="28B51AC0">
            <w:pPr>
              <w:spacing w:line="480" w:lineRule="atLeast"/>
            </w:pPr>
            <w:r>
              <w:rPr>
                <w:sz w:val="21"/>
                <w:szCs w:val="21"/>
              </w:rPr>
              <w:t>35.9%</w:t>
            </w:r>
          </w:p>
        </w:tc>
      </w:tr>
      <w:tr w14:paraId="16FE87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vAlign w:val="center"/>
          </w:tcPr>
          <w:p w14:paraId="52FDDF9B">
            <w:pPr>
              <w:spacing w:line="480" w:lineRule="atLeast"/>
              <w:jc w:val="center"/>
            </w:pPr>
            <w:r>
              <w:rPr>
                <w:sz w:val="21"/>
                <w:szCs w:val="21"/>
              </w:rPr>
              <w:t>eₚ*</w:t>
            </w:r>
          </w:p>
        </w:tc>
        <w:tc>
          <w:tcPr>
            <w:tcW w:w="2538" w:type="dxa"/>
            <w:vAlign w:val="center"/>
          </w:tcPr>
          <w:p w14:paraId="4DE0AC99">
            <w:pPr>
              <w:spacing w:line="480" w:lineRule="atLeast"/>
            </w:pPr>
            <w:r>
              <w:rPr>
                <w:sz w:val="21"/>
                <w:szCs w:val="21"/>
              </w:rPr>
              <w:t>自动（rₐ=0.4）</w:t>
            </w:r>
          </w:p>
        </w:tc>
        <w:tc>
          <w:tcPr>
            <w:tcW w:w="1020" w:type="dxa"/>
            <w:vAlign w:val="center"/>
          </w:tcPr>
          <w:p w14:paraId="711C8FE5">
            <w:pPr>
              <w:spacing w:line="480" w:lineRule="atLeast"/>
            </w:pPr>
            <w:r>
              <w:rPr>
                <w:sz w:val="21"/>
                <w:szCs w:val="21"/>
              </w:rPr>
              <w:t>6</w:t>
            </w:r>
          </w:p>
        </w:tc>
        <w:tc>
          <w:tcPr>
            <w:tcW w:w="1361" w:type="dxa"/>
            <w:vAlign w:val="center"/>
          </w:tcPr>
          <w:p w14:paraId="10EF731A">
            <w:pPr>
              <w:spacing w:line="480" w:lineRule="atLeast"/>
            </w:pPr>
            <w:r>
              <w:rPr>
                <w:sz w:val="21"/>
                <w:szCs w:val="21"/>
              </w:rPr>
              <w:t>183</w:t>
            </w:r>
          </w:p>
        </w:tc>
        <w:tc>
          <w:tcPr>
            <w:tcW w:w="1361" w:type="dxa"/>
            <w:vAlign w:val="center"/>
          </w:tcPr>
          <w:p w14:paraId="226CFF4B">
            <w:pPr>
              <w:spacing w:line="480" w:lineRule="atLeast"/>
            </w:pPr>
            <w:r>
              <w:rPr>
                <w:sz w:val="21"/>
                <w:szCs w:val="21"/>
              </w:rPr>
              <w:t>301</w:t>
            </w:r>
          </w:p>
        </w:tc>
        <w:tc>
          <w:tcPr>
            <w:tcW w:w="978" w:type="dxa"/>
            <w:vAlign w:val="center"/>
          </w:tcPr>
          <w:p w14:paraId="1D6A8325">
            <w:pPr>
              <w:spacing w:line="480" w:lineRule="atLeast"/>
            </w:pPr>
            <w:r>
              <w:rPr>
                <w:sz w:val="21"/>
                <w:szCs w:val="21"/>
              </w:rPr>
              <w:t>26.9%</w:t>
            </w:r>
          </w:p>
        </w:tc>
      </w:tr>
      <w:tr w14:paraId="267A90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20" w:type="dxa"/>
            <w:vAlign w:val="center"/>
          </w:tcPr>
          <w:p w14:paraId="503C191C">
            <w:pPr>
              <w:spacing w:line="480" w:lineRule="atLeast"/>
              <w:jc w:val="center"/>
            </w:pPr>
            <w:r>
              <w:rPr>
                <w:sz w:val="21"/>
                <w:szCs w:val="21"/>
              </w:rPr>
              <w:t>eₚ*</w:t>
            </w:r>
          </w:p>
        </w:tc>
        <w:tc>
          <w:tcPr>
            <w:tcW w:w="2538" w:type="dxa"/>
            <w:vAlign w:val="center"/>
          </w:tcPr>
          <w:p w14:paraId="20FDE95E">
            <w:pPr>
              <w:spacing w:line="480" w:lineRule="atLeast"/>
            </w:pPr>
            <w:r>
              <w:rPr>
                <w:sz w:val="21"/>
                <w:szCs w:val="21"/>
              </w:rPr>
              <w:t>自动（rₐ=0.1）</w:t>
            </w:r>
          </w:p>
        </w:tc>
        <w:tc>
          <w:tcPr>
            <w:tcW w:w="1020" w:type="dxa"/>
            <w:vAlign w:val="center"/>
          </w:tcPr>
          <w:p w14:paraId="1421062C">
            <w:pPr>
              <w:spacing w:line="480" w:lineRule="atLeast"/>
            </w:pPr>
            <w:r>
              <w:rPr>
                <w:sz w:val="21"/>
                <w:szCs w:val="21"/>
              </w:rPr>
              <w:t>47</w:t>
            </w:r>
          </w:p>
        </w:tc>
        <w:tc>
          <w:tcPr>
            <w:tcW w:w="1361" w:type="dxa"/>
            <w:vAlign w:val="center"/>
          </w:tcPr>
          <w:p w14:paraId="2DE95595">
            <w:pPr>
              <w:spacing w:line="480" w:lineRule="atLeast"/>
            </w:pPr>
            <w:r>
              <w:rPr>
                <w:sz w:val="21"/>
                <w:szCs w:val="21"/>
              </w:rPr>
              <w:t>300</w:t>
            </w:r>
          </w:p>
        </w:tc>
        <w:tc>
          <w:tcPr>
            <w:tcW w:w="1361" w:type="dxa"/>
            <w:vAlign w:val="center"/>
          </w:tcPr>
          <w:p w14:paraId="75D90500">
            <w:pPr>
              <w:spacing w:line="480" w:lineRule="atLeast"/>
            </w:pPr>
            <w:r>
              <w:rPr>
                <w:sz w:val="21"/>
                <w:szCs w:val="21"/>
              </w:rPr>
              <w:t>10</w:t>
            </w:r>
          </w:p>
        </w:tc>
        <w:tc>
          <w:tcPr>
            <w:tcW w:w="978" w:type="dxa"/>
            <w:vAlign w:val="center"/>
          </w:tcPr>
          <w:p w14:paraId="231CCE57">
            <w:pPr>
              <w:spacing w:line="480" w:lineRule="atLeast"/>
            </w:pPr>
            <w:r>
              <w:rPr>
                <w:sz w:val="21"/>
                <w:szCs w:val="21"/>
              </w:rPr>
              <w:t>2.3%</w:t>
            </w:r>
          </w:p>
        </w:tc>
      </w:tr>
    </w:tbl>
    <w:p w14:paraId="297CE05C">
      <w:pPr>
        <w:keepNext/>
        <w:spacing w:line="240" w:lineRule="auto"/>
        <w:jc w:val="center"/>
      </w:pPr>
      <w:r>
        <w:drawing>
          <wp:inline distT="0" distB="0" distL="114300" distR="114300">
            <wp:extent cx="5212080" cy="3023235"/>
            <wp:effectExtent l="0" t="0" r="762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12080" cy="3023317"/>
                    </a:xfrm>
                    <a:prstGeom prst="rect">
                      <a:avLst/>
                    </a:prstGeom>
                  </pic:spPr>
                </pic:pic>
              </a:graphicData>
            </a:graphic>
          </wp:inline>
        </w:drawing>
      </w:r>
    </w:p>
    <w:p w14:paraId="5F109968">
      <w:pPr>
        <w:pStyle w:val="11"/>
        <w:jc w:val="center"/>
      </w:pPr>
      <w:r>
        <w:t xml:space="preserve">图 5.1　DDDA 分辨率—精度权衡：横轴 </w:t>
      </w:r>
      <m:oMath>
        <m:sSub>
          <m:sSubPr/>
          <m:e>
            <m:r>
              <m:rPr/>
              <m:t>r</m:t>
            </m:r>
          </m:e>
          <m:sub>
            <m:r>
              <m:rPr/>
              <m:t>a</m:t>
            </m:r>
          </m:sub>
        </m:sSub>
      </m:oMath>
      <w:r>
        <w:t xml:space="preserve">，左纵轴 </w:t>
      </w:r>
      <m:oMath>
        <m:sSup>
          <m:sSupPr/>
          <m:e>
            <m:r>
              <m:rPr/>
              <m:t>δ</m:t>
            </m:r>
          </m:e>
          <m:sup>
            <m:r>
              <m:rPr/>
              <m:t>∗</m:t>
            </m:r>
          </m:sup>
        </m:sSup>
      </m:oMath>
      <w:r>
        <w:t>、右纵轴模糊点比例，</w:t>
      </w:r>
      <m:oMath>
        <m:sSubSup>
          <m:sSubSupPr/>
          <m:e>
            <m:r>
              <m:rPr/>
              <m:t>e</m:t>
            </m:r>
          </m:e>
          <m:sub>
            <m:r>
              <m:rPr/>
              <m:t>k</m:t>
            </m:r>
          </m:sub>
          <m:sup>
            <m:r>
              <m:rPr/>
              <m:t>∗</m:t>
            </m:r>
          </m:sup>
        </m:sSubSup>
      </m:oMath>
      <w:r>
        <w:t xml:space="preserve"> 与 </w:t>
      </w:r>
      <m:oMath>
        <m:sSubSup>
          <m:sSubSupPr/>
          <m:e>
            <m:r>
              <m:rPr/>
              <m:t>e</m:t>
            </m:r>
          </m:e>
          <m:sub>
            <m:r>
              <m:rPr/>
              <m:t>p</m:t>
            </m:r>
          </m:sub>
          <m:sup>
            <m:r>
              <m:rPr/>
              <m:t>∗</m:t>
            </m:r>
          </m:sup>
        </m:sSubSup>
      </m:oMath>
      <w:r>
        <w:t xml:space="preserve"> 两条曲线——簇数随 </w:t>
      </w:r>
      <m:oMath>
        <m:sSub>
          <m:sSubPr/>
          <m:e>
            <m:r>
              <m:rPr/>
              <m:t>r</m:t>
            </m:r>
          </m:e>
          <m:sub>
            <m:r>
              <m:rPr/>
              <m:t>a</m:t>
            </m:r>
          </m:sub>
        </m:sSub>
      </m:oMath>
      <w:r>
        <w:t xml:space="preserve"> 减小而增多，</w:t>
      </w:r>
      <m:oMath>
        <m:sSup>
          <m:sSupPr/>
          <m:e>
            <m:r>
              <m:rPr/>
              <m:t>δ</m:t>
            </m:r>
          </m:e>
          <m:sup>
            <m:r>
              <m:rPr/>
              <m:t>∗</m:t>
            </m:r>
          </m:sup>
        </m:sSup>
      </m:oMath>
      <w:r>
        <w:t xml:space="preserve"> 下降但模糊点（被剔除样本）比例急剧上升</w:t>
      </w:r>
    </w:p>
    <w:p w14:paraId="6770F57E">
      <w:pPr>
        <w:spacing w:line="480" w:lineRule="exact"/>
        <w:ind w:firstLine="560" w:firstLineChars="200"/>
      </w:pPr>
      <w:r>
        <w:t xml:space="preserve">三点结论。其一，分区收益真实且可观：动能 </w:t>
      </w:r>
      <m:oMath>
        <m:sSup>
          <m:sSupPr/>
          <m:e>
            <m:r>
              <m:rPr/>
              <w:rPr>
                <w:sz w:val="24"/>
                <w:szCs w:val="24"/>
              </w:rPr>
              <m:t>δ</m:t>
            </m:r>
          </m:e>
          <m:sup>
            <m:r>
              <m:rPr/>
              <w:rPr>
                <w:sz w:val="24"/>
                <w:szCs w:val="24"/>
              </w:rPr>
              <m:t>∗</m:t>
            </m:r>
          </m:sup>
        </m:sSup>
      </m:oMath>
      <w:r>
        <w:t xml:space="preserve"> 由 23.5% 降至 21.1%（两子域），势能由 35.9% 降至 26.9%（六子域），与文献</w:t>
      </w:r>
      <w:r>
        <w:rPr>
          <w:sz w:val="18"/>
          <w:szCs w:val="18"/>
          <w:vertAlign w:val="superscript"/>
        </w:rPr>
        <w:t>[12]</w:t>
      </w:r>
      <w:r>
        <w:t>报告的分区必要性（27.06%→13.86%）同向。其二，分辨率—精度存在权衡而非单调改善：</w:t>
      </w:r>
      <m:oMath>
        <m:sSub>
          <m:sSubPr/>
          <m:e>
            <m:r>
              <m:rPr/>
              <w:rPr>
                <w:sz w:val="24"/>
                <w:szCs w:val="24"/>
              </w:rPr>
              <m:t>r</m:t>
            </m:r>
          </m:e>
          <m:sub>
            <m:r>
              <m:rPr/>
              <w:rPr>
                <w:sz w:val="24"/>
                <w:szCs w:val="24"/>
              </w:rPr>
              <m:t>a</m:t>
            </m:r>
          </m:sub>
        </m:sSub>
      </m:oMath>
      <w:r>
        <w:t xml:space="preserve"> 越小、子域越多、</w:t>
      </w:r>
      <m:oMath>
        <m:sSup>
          <m:sSupPr/>
          <m:e>
            <m:r>
              <m:rPr/>
              <w:rPr>
                <w:sz w:val="24"/>
                <w:szCs w:val="24"/>
              </w:rPr>
              <m:t>δ</m:t>
            </m:r>
          </m:e>
          <m:sup>
            <m:r>
              <m:rPr/>
              <w:rPr>
                <w:sz w:val="24"/>
                <w:szCs w:val="24"/>
              </w:rPr>
              <m:t>∗</m:t>
            </m:r>
          </m:sup>
        </m:sSup>
      </m:oMath>
      <w:r>
        <w:t xml:space="preserve"> 名义上越低，但被剔除的样本比例急剧上升——势能在 </w:t>
      </w:r>
      <m:oMath>
        <m:sSub>
          <m:sSubPr/>
          <m:e>
            <m:r>
              <m:rPr/>
              <w:rPr>
                <w:sz w:val="24"/>
                <w:szCs w:val="24"/>
              </w:rPr>
              <m:t>r</m:t>
            </m:r>
          </m:e>
          <m:sub>
            <m:r>
              <m:rPr/>
              <w:rPr>
                <w:sz w:val="24"/>
                <w:szCs w:val="24"/>
              </w:rPr>
              <m:t>a</m:t>
            </m:r>
          </m:sub>
        </m:sSub>
      </m:oMath>
      <w:r>
        <w:t xml:space="preserve">=0.1 下的 </w:t>
      </w:r>
      <m:oMath>
        <m:sSup>
          <m:sSupPr/>
          <m:e>
            <m:r>
              <m:rPr/>
              <w:rPr>
                <w:sz w:val="24"/>
                <w:szCs w:val="24"/>
              </w:rPr>
              <m:t>δ</m:t>
            </m:r>
          </m:e>
          <m:sup>
            <m:r>
              <m:rPr/>
              <w:rPr>
                <w:sz w:val="24"/>
                <w:szCs w:val="24"/>
              </w:rPr>
              <m:t>∗</m:t>
            </m:r>
          </m:sup>
        </m:sSup>
      </m:oMath>
      <w:r>
        <w:t>=2.3% 是严重的过分区：300 个模糊点之外，其余 216 点散入 47 个子域（每域仅 2~10 点），最终只有 1 个子域的 10 个点（占全部数据 1.9%）进入误差统计，该数字不具科学价值。其三，</w:t>
      </w:r>
      <m:oMath>
        <m:sSup>
          <m:sSupPr/>
          <m:e>
            <m:r>
              <m:rPr/>
              <w:rPr>
                <w:sz w:val="24"/>
                <w:szCs w:val="24"/>
              </w:rPr>
              <m:t>δ</m:t>
            </m:r>
          </m:e>
          <m:sup>
            <m:r>
              <m:rPr/>
              <w:rPr>
                <w:sz w:val="24"/>
                <w:szCs w:val="24"/>
              </w:rPr>
              <m:t>∗</m:t>
            </m:r>
          </m:sup>
        </m:sSup>
      </m:oMath>
      <w:r>
        <w:t xml:space="preserve"> 仅在有效样本上计算，跨条件比较必须同时报告模糊点与有效点数，本研究全部表格遵循该纪律（表 5.3 并列三列）；相应地，4.3 节的 21.1%（384 点）对 23.5%（465 点）的比较包含分区收益与样本筛选两种成分，读者应在该口径下理解分区收益的量级。该消融同时说明：子域数与分辨率参数的选取是 DDDA 应用中的真实科学判断——智能体在基线运行中对两个响应量分别选择 2 与 6 子域并记录理由（动能两簇即达稳定、势能无平台如实报告），正是这类判断的实例。</w:t>
      </w:r>
    </w:p>
    <w:p w14:paraId="0B973A52">
      <w:pPr>
        <w:pStyle w:val="3"/>
      </w:pPr>
      <w:bookmarkStart w:id="34" w:name="_Toc14263"/>
      <w:r>
        <w:t>5.4 其他关键组件的消融</w:t>
      </w:r>
      <w:bookmarkEnd w:id="34"/>
    </w:p>
    <w:p w14:paraId="722514E5">
      <w:pPr>
        <w:pStyle w:val="4"/>
      </w:pPr>
      <w:bookmarkStart w:id="35" w:name="_Toc10887"/>
      <w:r>
        <w:t>5.4.1 审稿门的质量把关作用</w:t>
      </w:r>
      <w:bookmarkEnd w:id="35"/>
    </w:p>
    <w:p w14:paraId="1CD89076">
      <w:pPr>
        <w:spacing w:line="480" w:lineRule="exact"/>
        <w:ind w:firstLine="560" w:firstLineChars="200"/>
      </w:pPr>
      <w:r>
        <w:t>审稿门消融剥离三层把关（数值审计/视觉图审计/异源评审），交付管线改由提交动作驱动（交付流程本身不依赖审稿事件——该工程缺陷在预实验中暴露并修复，本节的对照因此测的是纯质量把关效应）。</w:t>
      </w:r>
    </w:p>
    <w:p w14:paraId="3F59A002">
      <w:pPr>
        <w:pStyle w:val="11"/>
        <w:keepNext/>
        <w:jc w:val="center"/>
      </w:pPr>
      <w:r>
        <w:t>表 5.4 审稿门消融对照</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18"/>
        <w:gridCol w:w="3515"/>
        <w:gridCol w:w="3445"/>
      </w:tblGrid>
      <w:tr w14:paraId="52F951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318" w:type="dxa"/>
            <w:tcBorders>
              <w:bottom w:val="single" w:color="auto" w:sz="4" w:space="0"/>
            </w:tcBorders>
            <w:vAlign w:val="center"/>
          </w:tcPr>
          <w:p w14:paraId="0E10C3F2">
            <w:pPr>
              <w:spacing w:line="480" w:lineRule="atLeast"/>
              <w:jc w:val="center"/>
            </w:pPr>
            <w:r>
              <w:rPr>
                <w:b/>
                <w:sz w:val="21"/>
                <w:szCs w:val="21"/>
              </w:rPr>
              <w:t>指标</w:t>
            </w:r>
          </w:p>
        </w:tc>
        <w:tc>
          <w:tcPr>
            <w:tcW w:w="3515" w:type="dxa"/>
            <w:tcBorders>
              <w:bottom w:val="single" w:color="auto" w:sz="4" w:space="0"/>
            </w:tcBorders>
            <w:vAlign w:val="center"/>
          </w:tcPr>
          <w:p w14:paraId="5ACD4359">
            <w:pPr>
              <w:spacing w:line="480" w:lineRule="atLeast"/>
              <w:jc w:val="center"/>
            </w:pPr>
            <w:r>
              <w:rPr>
                <w:b/>
                <w:sz w:val="21"/>
                <w:szCs w:val="21"/>
              </w:rPr>
              <w:t>基线（有审稿门）</w:t>
            </w:r>
          </w:p>
        </w:tc>
        <w:tc>
          <w:tcPr>
            <w:tcW w:w="3445" w:type="dxa"/>
            <w:tcBorders>
              <w:bottom w:val="single" w:color="auto" w:sz="4" w:space="0"/>
            </w:tcBorders>
            <w:vAlign w:val="center"/>
          </w:tcPr>
          <w:p w14:paraId="300904DB">
            <w:pPr>
              <w:spacing w:line="480" w:lineRule="atLeast"/>
              <w:jc w:val="center"/>
            </w:pPr>
            <w:r>
              <w:rPr>
                <w:b/>
                <w:sz w:val="21"/>
                <w:szCs w:val="21"/>
              </w:rPr>
              <w:t>关闭审稿门</w:t>
            </w:r>
          </w:p>
        </w:tc>
      </w:tr>
      <w:tr w14:paraId="550154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18" w:type="dxa"/>
            <w:tcBorders>
              <w:top w:val="single" w:color="auto" w:sz="4" w:space="0"/>
            </w:tcBorders>
            <w:vAlign w:val="center"/>
          </w:tcPr>
          <w:p w14:paraId="610554BB">
            <w:pPr>
              <w:spacing w:line="480" w:lineRule="atLeast"/>
              <w:jc w:val="center"/>
            </w:pPr>
            <w:r>
              <w:rPr>
                <w:sz w:val="21"/>
                <w:szCs w:val="21"/>
              </w:rPr>
              <w:t>终态</w:t>
            </w:r>
          </w:p>
        </w:tc>
        <w:tc>
          <w:tcPr>
            <w:tcW w:w="3515" w:type="dxa"/>
            <w:tcBorders>
              <w:top w:val="single" w:color="auto" w:sz="4" w:space="0"/>
            </w:tcBorders>
            <w:vAlign w:val="center"/>
          </w:tcPr>
          <w:p w14:paraId="5E8753CE">
            <w:pPr>
              <w:spacing w:line="480" w:lineRule="atLeast"/>
            </w:pPr>
            <w:r>
              <w:rPr>
                <w:sz w:val="21"/>
                <w:szCs w:val="21"/>
              </w:rPr>
              <w:t>通过审稿（首轮驳回、修订后二轮通过）</w:t>
            </w:r>
          </w:p>
        </w:tc>
        <w:tc>
          <w:tcPr>
            <w:tcW w:w="3445" w:type="dxa"/>
            <w:tcBorders>
              <w:top w:val="single" w:color="auto" w:sz="4" w:space="0"/>
            </w:tcBorders>
            <w:vAlign w:val="center"/>
          </w:tcPr>
          <w:p w14:paraId="71CF2A40">
            <w:pPr>
              <w:spacing w:line="480" w:lineRule="atLeast"/>
            </w:pPr>
            <w:r>
              <w:rPr>
                <w:sz w:val="21"/>
                <w:szCs w:val="21"/>
              </w:rPr>
              <w:t>未经评审直接提交（产出未经任何评审）</w:t>
            </w:r>
          </w:p>
        </w:tc>
      </w:tr>
      <w:tr w14:paraId="1986CD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18" w:type="dxa"/>
            <w:vAlign w:val="center"/>
          </w:tcPr>
          <w:p w14:paraId="2A50ADBC">
            <w:pPr>
              <w:spacing w:line="480" w:lineRule="atLeast"/>
              <w:jc w:val="center"/>
            </w:pPr>
            <w:r>
              <w:rPr>
                <w:sz w:val="21"/>
                <w:szCs w:val="21"/>
              </w:rPr>
              <w:t>离网格留出验证误差</w:t>
            </w:r>
          </w:p>
        </w:tc>
        <w:tc>
          <w:tcPr>
            <w:tcW w:w="3515" w:type="dxa"/>
            <w:vAlign w:val="center"/>
          </w:tcPr>
          <w:p w14:paraId="2FC02596">
            <w:pPr>
              <w:spacing w:line="480" w:lineRule="atLeast"/>
            </w:pPr>
            <w:r>
              <w:rPr>
                <w:sz w:val="21"/>
                <w:szCs w:val="21"/>
              </w:rPr>
              <w:t>eₖ* MAPE 16.5%（6 点，第一轮冻结模型；驳回修复后的数字）</w:t>
            </w:r>
          </w:p>
        </w:tc>
        <w:tc>
          <w:tcPr>
            <w:tcW w:w="3445" w:type="dxa"/>
            <w:vAlign w:val="center"/>
          </w:tcPr>
          <w:p w14:paraId="2F0685CB">
            <w:pPr>
              <w:spacing w:line="480" w:lineRule="atLeast"/>
            </w:pPr>
            <w:r>
              <w:rPr>
                <w:sz w:val="21"/>
                <w:szCs w:val="21"/>
              </w:rPr>
              <w:t>eₖ* 10 点平均 38.2%（最大 113%）；eₚ* 11.2%</w:t>
            </w:r>
          </w:p>
        </w:tc>
      </w:tr>
      <w:tr w14:paraId="270522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18" w:type="dxa"/>
            <w:vAlign w:val="center"/>
          </w:tcPr>
          <w:p w14:paraId="0222C94F">
            <w:pPr>
              <w:spacing w:line="480" w:lineRule="atLeast"/>
              <w:jc w:val="center"/>
            </w:pPr>
            <w:r>
              <w:rPr>
                <w:sz w:val="21"/>
                <w:szCs w:val="21"/>
              </w:rPr>
              <w:t>终局质量问题</w:t>
            </w:r>
          </w:p>
        </w:tc>
        <w:tc>
          <w:tcPr>
            <w:tcW w:w="3515" w:type="dxa"/>
            <w:vAlign w:val="center"/>
          </w:tcPr>
          <w:p w14:paraId="7E11C74F">
            <w:pPr>
              <w:spacing w:line="480" w:lineRule="atLeast"/>
            </w:pPr>
            <w:r>
              <w:rPr>
                <w:sz w:val="21"/>
                <w:szCs w:val="21"/>
              </w:rPr>
              <w:t>0（修复后全清）</w:t>
            </w:r>
          </w:p>
        </w:tc>
        <w:tc>
          <w:tcPr>
            <w:tcW w:w="3445" w:type="dxa"/>
            <w:vAlign w:val="center"/>
          </w:tcPr>
          <w:p w14:paraId="2290C36C">
            <w:pPr>
              <w:spacing w:line="480" w:lineRule="atLeast"/>
            </w:pPr>
            <w:r>
              <w:rPr>
                <w:sz w:val="21"/>
                <w:szCs w:val="21"/>
              </w:rPr>
              <w:t>4 项经验证的问题未拦截（见正文）</w:t>
            </w:r>
          </w:p>
        </w:tc>
      </w:tr>
      <w:tr w14:paraId="5EBC09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18" w:type="dxa"/>
            <w:vAlign w:val="center"/>
          </w:tcPr>
          <w:p w14:paraId="69BC7C1A">
            <w:pPr>
              <w:spacing w:line="480" w:lineRule="atLeast"/>
              <w:jc w:val="center"/>
            </w:pPr>
            <w:r>
              <w:rPr>
                <w:sz w:val="21"/>
                <w:szCs w:val="21"/>
              </w:rPr>
              <w:t>交付物</w:t>
            </w:r>
          </w:p>
        </w:tc>
        <w:tc>
          <w:tcPr>
            <w:tcW w:w="3515" w:type="dxa"/>
            <w:vAlign w:val="center"/>
          </w:tcPr>
          <w:p w14:paraId="4425AE41">
            <w:pPr>
              <w:spacing w:line="480" w:lineRule="atLeast"/>
            </w:pPr>
            <w:r>
              <w:rPr>
                <w:sz w:val="21"/>
                <w:szCs w:val="21"/>
              </w:rPr>
              <w:t>三件交付物齐备</w:t>
            </w:r>
          </w:p>
        </w:tc>
        <w:tc>
          <w:tcPr>
            <w:tcW w:w="3445" w:type="dxa"/>
            <w:vAlign w:val="center"/>
          </w:tcPr>
          <w:p w14:paraId="6EDBC2D8">
            <w:pPr>
              <w:spacing w:line="480" w:lineRule="atLeast"/>
            </w:pPr>
            <w:r>
              <w:rPr>
                <w:sz w:val="21"/>
                <w:szCs w:val="21"/>
              </w:rPr>
              <w:t>论文、幻灯片、行为报告三件齐备</w:t>
            </w:r>
          </w:p>
        </w:tc>
      </w:tr>
      <w:tr w14:paraId="156887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18" w:type="dxa"/>
            <w:vAlign w:val="center"/>
          </w:tcPr>
          <w:p w14:paraId="5D68CD1B">
            <w:pPr>
              <w:spacing w:line="480" w:lineRule="atLeast"/>
              <w:jc w:val="center"/>
            </w:pPr>
            <w:r>
              <w:rPr>
                <w:sz w:val="21"/>
                <w:szCs w:val="21"/>
              </w:rPr>
              <w:t>定量评分（总分）</w:t>
            </w:r>
          </w:p>
        </w:tc>
        <w:tc>
          <w:tcPr>
            <w:tcW w:w="3515" w:type="dxa"/>
            <w:vAlign w:val="center"/>
          </w:tcPr>
          <w:p w14:paraId="461D8055">
            <w:pPr>
              <w:spacing w:line="480" w:lineRule="atLeast"/>
            </w:pPr>
            <w:r>
              <w:rPr>
                <w:sz w:val="21"/>
                <w:szCs w:val="21"/>
              </w:rPr>
              <w:t>15</w:t>
            </w:r>
          </w:p>
        </w:tc>
        <w:tc>
          <w:tcPr>
            <w:tcW w:w="3445" w:type="dxa"/>
            <w:vAlign w:val="center"/>
          </w:tcPr>
          <w:p w14:paraId="0C3CD523">
            <w:pPr>
              <w:spacing w:line="480" w:lineRule="atLeast"/>
            </w:pPr>
            <w:r>
              <w:rPr>
                <w:sz w:val="21"/>
                <w:szCs w:val="21"/>
              </w:rPr>
              <w:t>11（D2：4 vs 2；D3：3 vs 2）</w:t>
            </w:r>
          </w:p>
        </w:tc>
      </w:tr>
    </w:tbl>
    <w:p w14:paraId="3B9C5980">
      <w:pPr>
        <w:spacing w:line="480" w:lineRule="exact"/>
        <w:ind w:firstLine="560" w:firstLineChars="200"/>
      </w:pPr>
      <w:r>
        <w:t>审稿门的价值写在两组数字里：基线的离网格留出验证 16.5%（第一轮冻结模型）是一轮驳回（F=8 证据用错工况、方向性错误被抓）退回重做后的数字，无审稿的配置把 38.2% 的首次质量照原样交付——同一架构，有无把关的差距达 2.3 倍（两次独立运行、不同验证集的对照口径，见 5.1 节）。其终稿携带的 4 项问题经逐一验证：（1）e_k* 离网格验证误差 38.2%（最大点 113%）原样交付，低值角点（F=4、Γ=1.25）欠采样未补；（2）图文矛盾——验证图的图内标注为窗口均值 35.2 mm、漂移 2.15%，正文与图注却声称 21.4 mm 与 0.49%，该论文的核心方法论发现（准稳态方案：短方案抓到瞬态、长方案才到平台）的关键数字自相矛盾；（3）事后数值审计补查发现 1 个无出处数值（1.154，系论文内心算的分区比 F 指数 −0.993−0.161，无算术工具记录）；（4）两条参考文献为占位条目（无期刊卷页、标题为描述性短语）。四类问题恰是内部审稿门第一层失败模式排查本会拦截的类型（验证、图文、溯源、文献）——问题没有被消除，只是没有被看见；其中图文矛盾一项连数值审计与过程留痕也无从捕捉，由盲评的图文核验环节发现，视觉图审计是此类缺陷的专属防线。值得说明的是其研究内容本身有实质产出（能量分配比 R∝Γ^{-0.09}F^{-1.15} 的 Γ 指数近零、高 Γ 区无对流环的机制观察、准稳态方案发现）——它不是稻草人配置，对比因此更有说服力。</w:t>
      </w:r>
    </w:p>
    <w:p w14:paraId="46AF2EC3">
      <w:pPr>
        <w:pStyle w:val="4"/>
      </w:pPr>
      <w:bookmarkStart w:id="36" w:name="_Toc14365"/>
      <w:r>
        <w:t>5.4.2 机制调查引导与防线冗余</w:t>
      </w:r>
      <w:bookmarkEnd w:id="36"/>
    </w:p>
    <w:p w14:paraId="6F5E4F2D">
      <w:pPr>
        <w:spacing w:line="480" w:lineRule="exact"/>
        <w:ind w:firstLine="560" w:firstLineChars="200"/>
      </w:pPr>
      <w:r>
        <w:t>剥离技能中的机制调查引导与完成判据中的机制要求后，机制观测行为并未退化：快照/时均场调用 9 次（基线 8 次）、账本含完整的机制修正链（一轮审稿抓住工况标签错误后自主重做快照、修正机制结论）。原因是防线冗余：审稿门的失败模式排查同样驱动机制调查。该配置的结论是正面发现：机制调查存在技能引导与审稿门的双驱动，单重失守不影响行为——系统可靠性来自防线冗余而非单一组件。</w:t>
      </w:r>
    </w:p>
    <w:p w14:paraId="18B0E35B">
      <w:pPr>
        <w:spacing w:line="480" w:lineRule="exact"/>
        <w:ind w:firstLine="560" w:firstLineChars="200"/>
      </w:pPr>
      <w:r>
        <w:t>终局失败的直接原因是数值溯源：其论文方法节列出的 7 个加密设计 Γ 中点值（1.7678 至 113.14）为心算的几何中点、无设计工具记录，两轮审稿均未修复（第二轮仅将旧值换成全精度数字，未建立工具溯源），5 个无出处数值保持到终稿。该失败与机制消融无直接因果，但心算派生值不留痕这一失败模式在多个配置中重复出现：低档基座配置第一轮因同类的 4 个 Γ 网格值无出处被驳回，随后补建设计记录修复、二轮过审；关闭审稿门配置的分区比指数（1.154）与供给归零配置的随板运动律参考值（0.44625）同属心算派生、无算术记录。同一缺陷类型、同样在场的审稿门，一个配置修复后过审、两个配置未修复被驳——结果分化在修复行为上：审稿门提高缺陷的暴露率与修复概率，但不保证修复。</w:t>
      </w:r>
    </w:p>
    <w:p w14:paraId="5B924360">
      <w:pPr>
        <w:pStyle w:val="4"/>
      </w:pPr>
      <w:bookmarkStart w:id="37" w:name="_Toc20666"/>
      <w:r>
        <w:t>5.4.3 减少知识供给的影响</w:t>
      </w:r>
      <w:bookmarkEnd w:id="37"/>
    </w:p>
    <w:p w14:paraId="69A08A78">
      <w:pPr>
        <w:spacing w:line="480" w:lineRule="exact"/>
        <w:ind w:firstLine="560" w:firstLineChars="200"/>
      </w:pPr>
      <w:r>
        <w:t>按 2.4 节的框架（本地知识库与在线检索为同一功能的两种载体），知识供给消融设三档：全开（基线）、盲知识库（知识库剔除验证文献等核心卷目，在线检索保留）、供给归零（盲知识库且在线检索全部禁用）。三组配置呈现清晰的梯度差异：</w:t>
      </w:r>
    </w:p>
    <w:p w14:paraId="4915A6DE">
      <w:pPr>
        <w:pStyle w:val="11"/>
        <w:keepNext/>
        <w:jc w:val="center"/>
      </w:pPr>
      <w:r>
        <w:t>表 5.5 知识供给三档消融（梯度差异）</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98"/>
        <w:gridCol w:w="1747"/>
        <w:gridCol w:w="2534"/>
        <w:gridCol w:w="2999"/>
      </w:tblGrid>
      <w:tr w14:paraId="29304C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998" w:type="dxa"/>
            <w:tcBorders>
              <w:bottom w:val="single" w:color="auto" w:sz="4" w:space="0"/>
            </w:tcBorders>
            <w:vAlign w:val="center"/>
          </w:tcPr>
          <w:p w14:paraId="364AD820">
            <w:pPr>
              <w:spacing w:line="480" w:lineRule="atLeast"/>
              <w:jc w:val="center"/>
            </w:pPr>
            <w:r>
              <w:rPr>
                <w:b/>
                <w:sz w:val="21"/>
                <w:szCs w:val="21"/>
              </w:rPr>
              <w:t>指标</w:t>
            </w:r>
          </w:p>
        </w:tc>
        <w:tc>
          <w:tcPr>
            <w:tcW w:w="1747" w:type="dxa"/>
            <w:tcBorders>
              <w:bottom w:val="single" w:color="auto" w:sz="4" w:space="0"/>
            </w:tcBorders>
            <w:vAlign w:val="center"/>
          </w:tcPr>
          <w:p w14:paraId="1703DB98">
            <w:pPr>
              <w:spacing w:line="480" w:lineRule="atLeast"/>
              <w:jc w:val="center"/>
            </w:pPr>
            <w:r>
              <w:rPr>
                <w:b/>
                <w:sz w:val="21"/>
                <w:szCs w:val="21"/>
              </w:rPr>
              <w:t>全开（基线）</w:t>
            </w:r>
          </w:p>
        </w:tc>
        <w:tc>
          <w:tcPr>
            <w:tcW w:w="2534" w:type="dxa"/>
            <w:tcBorders>
              <w:bottom w:val="single" w:color="auto" w:sz="4" w:space="0"/>
            </w:tcBorders>
            <w:vAlign w:val="center"/>
          </w:tcPr>
          <w:p w14:paraId="21527CB0">
            <w:pPr>
              <w:spacing w:line="480" w:lineRule="atLeast"/>
              <w:jc w:val="center"/>
            </w:pPr>
            <w:r>
              <w:rPr>
                <w:b/>
                <w:sz w:val="21"/>
                <w:szCs w:val="21"/>
              </w:rPr>
              <w:t>盲知识库</w:t>
            </w:r>
          </w:p>
        </w:tc>
        <w:tc>
          <w:tcPr>
            <w:tcW w:w="2999" w:type="dxa"/>
            <w:tcBorders>
              <w:bottom w:val="single" w:color="auto" w:sz="4" w:space="0"/>
            </w:tcBorders>
            <w:vAlign w:val="center"/>
          </w:tcPr>
          <w:p w14:paraId="06939D6C">
            <w:pPr>
              <w:spacing w:line="480" w:lineRule="atLeast"/>
              <w:jc w:val="center"/>
            </w:pPr>
            <w:r>
              <w:rPr>
                <w:b/>
                <w:sz w:val="21"/>
                <w:szCs w:val="21"/>
              </w:rPr>
              <w:t>供给归零</w:t>
            </w:r>
          </w:p>
        </w:tc>
      </w:tr>
      <w:tr w14:paraId="680A39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tcBorders>
              <w:top w:val="single" w:color="auto" w:sz="4" w:space="0"/>
            </w:tcBorders>
            <w:vAlign w:val="center"/>
          </w:tcPr>
          <w:p w14:paraId="3C16D023">
            <w:pPr>
              <w:spacing w:line="480" w:lineRule="atLeast"/>
              <w:jc w:val="center"/>
            </w:pPr>
            <w:r>
              <w:rPr>
                <w:sz w:val="21"/>
                <w:szCs w:val="21"/>
              </w:rPr>
              <w:t>终态</w:t>
            </w:r>
          </w:p>
        </w:tc>
        <w:tc>
          <w:tcPr>
            <w:tcW w:w="1747" w:type="dxa"/>
            <w:tcBorders>
              <w:top w:val="single" w:color="auto" w:sz="4" w:space="0"/>
            </w:tcBorders>
            <w:vAlign w:val="center"/>
          </w:tcPr>
          <w:p w14:paraId="620C8FCA">
            <w:pPr>
              <w:spacing w:line="480" w:lineRule="atLeast"/>
            </w:pPr>
            <w:r>
              <w:rPr>
                <w:sz w:val="21"/>
                <w:szCs w:val="21"/>
              </w:rPr>
              <w:t>通过审稿</w:t>
            </w:r>
          </w:p>
        </w:tc>
        <w:tc>
          <w:tcPr>
            <w:tcW w:w="2534" w:type="dxa"/>
            <w:tcBorders>
              <w:top w:val="single" w:color="auto" w:sz="4" w:space="0"/>
            </w:tcBorders>
            <w:vAlign w:val="center"/>
          </w:tcPr>
          <w:p w14:paraId="253CE883">
            <w:pPr>
              <w:spacing w:line="480" w:lineRule="atLeast"/>
            </w:pPr>
            <w:r>
              <w:rPr>
                <w:sz w:val="21"/>
                <w:szCs w:val="21"/>
              </w:rPr>
              <w:t>通过审稿</w:t>
            </w:r>
          </w:p>
        </w:tc>
        <w:tc>
          <w:tcPr>
            <w:tcW w:w="2999" w:type="dxa"/>
            <w:tcBorders>
              <w:top w:val="single" w:color="auto" w:sz="4" w:space="0"/>
            </w:tcBorders>
            <w:vAlign w:val="center"/>
          </w:tcPr>
          <w:p w14:paraId="144CD2F8">
            <w:pPr>
              <w:spacing w:line="480" w:lineRule="atLeast"/>
            </w:pPr>
            <w:r>
              <w:rPr>
                <w:sz w:val="21"/>
                <w:szCs w:val="21"/>
              </w:rPr>
              <w:t>两轮驳回</w:t>
            </w:r>
          </w:p>
        </w:tc>
      </w:tr>
      <w:tr w14:paraId="67EB0D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vAlign w:val="center"/>
          </w:tcPr>
          <w:p w14:paraId="06F56EC2">
            <w:pPr>
              <w:spacing w:line="480" w:lineRule="atLeast"/>
              <w:jc w:val="center"/>
            </w:pPr>
            <w:r>
              <w:rPr>
                <w:sz w:val="21"/>
                <w:szCs w:val="21"/>
              </w:rPr>
              <w:t>步数</w:t>
            </w:r>
          </w:p>
        </w:tc>
        <w:tc>
          <w:tcPr>
            <w:tcW w:w="1747" w:type="dxa"/>
            <w:vAlign w:val="center"/>
          </w:tcPr>
          <w:p w14:paraId="6E9067E2">
            <w:pPr>
              <w:spacing w:line="480" w:lineRule="atLeast"/>
            </w:pPr>
            <w:r>
              <w:rPr>
                <w:sz w:val="21"/>
                <w:szCs w:val="21"/>
              </w:rPr>
              <w:t>205</w:t>
            </w:r>
          </w:p>
        </w:tc>
        <w:tc>
          <w:tcPr>
            <w:tcW w:w="2534" w:type="dxa"/>
            <w:vAlign w:val="center"/>
          </w:tcPr>
          <w:p w14:paraId="6C4B0299">
            <w:pPr>
              <w:spacing w:line="480" w:lineRule="atLeast"/>
            </w:pPr>
            <w:r>
              <w:rPr>
                <w:sz w:val="21"/>
                <w:szCs w:val="21"/>
              </w:rPr>
              <w:t>267（+30%）</w:t>
            </w:r>
          </w:p>
        </w:tc>
        <w:tc>
          <w:tcPr>
            <w:tcW w:w="2999" w:type="dxa"/>
            <w:vAlign w:val="center"/>
          </w:tcPr>
          <w:p w14:paraId="2B58BB0A">
            <w:pPr>
              <w:spacing w:line="480" w:lineRule="atLeast"/>
            </w:pPr>
            <w:r>
              <w:rPr>
                <w:sz w:val="21"/>
                <w:szCs w:val="21"/>
              </w:rPr>
              <w:t>210</w:t>
            </w:r>
          </w:p>
        </w:tc>
      </w:tr>
      <w:tr w14:paraId="79B697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vAlign w:val="center"/>
          </w:tcPr>
          <w:p w14:paraId="14E593A0">
            <w:pPr>
              <w:spacing w:line="480" w:lineRule="atLeast"/>
              <w:jc w:val="center"/>
            </w:pPr>
            <w:r>
              <w:rPr>
                <w:sz w:val="21"/>
                <w:szCs w:val="21"/>
              </w:rPr>
              <w:t>无出处数值</w:t>
            </w:r>
          </w:p>
        </w:tc>
        <w:tc>
          <w:tcPr>
            <w:tcW w:w="1747" w:type="dxa"/>
            <w:vAlign w:val="center"/>
          </w:tcPr>
          <w:p w14:paraId="157D20DA">
            <w:pPr>
              <w:spacing w:line="480" w:lineRule="atLeast"/>
            </w:pPr>
            <w:r>
              <w:rPr>
                <w:sz w:val="21"/>
                <w:szCs w:val="21"/>
              </w:rPr>
              <w:t>0</w:t>
            </w:r>
          </w:p>
        </w:tc>
        <w:tc>
          <w:tcPr>
            <w:tcW w:w="2534" w:type="dxa"/>
            <w:vAlign w:val="center"/>
          </w:tcPr>
          <w:p w14:paraId="7117DDE1">
            <w:pPr>
              <w:spacing w:line="480" w:lineRule="atLeast"/>
            </w:pPr>
            <w:r>
              <w:rPr>
                <w:sz w:val="21"/>
                <w:szCs w:val="21"/>
              </w:rPr>
              <w:t>0</w:t>
            </w:r>
          </w:p>
        </w:tc>
        <w:tc>
          <w:tcPr>
            <w:tcW w:w="2999" w:type="dxa"/>
            <w:vAlign w:val="center"/>
          </w:tcPr>
          <w:p w14:paraId="5F4E0344">
            <w:pPr>
              <w:spacing w:line="480" w:lineRule="atLeast"/>
            </w:pPr>
            <w:r>
              <w:rPr>
                <w:sz w:val="21"/>
                <w:szCs w:val="21"/>
              </w:rPr>
              <w:t>1（跨两轮未修复）</w:t>
            </w:r>
          </w:p>
        </w:tc>
      </w:tr>
      <w:tr w14:paraId="029478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vAlign w:val="center"/>
          </w:tcPr>
          <w:p w14:paraId="39C54CBD">
            <w:pPr>
              <w:spacing w:line="480" w:lineRule="atLeast"/>
              <w:jc w:val="center"/>
            </w:pPr>
            <w:r>
              <w:rPr>
                <w:sz w:val="21"/>
                <w:szCs w:val="21"/>
              </w:rPr>
              <w:t>试错记录</w:t>
            </w:r>
          </w:p>
        </w:tc>
        <w:tc>
          <w:tcPr>
            <w:tcW w:w="1747" w:type="dxa"/>
            <w:vAlign w:val="center"/>
          </w:tcPr>
          <w:p w14:paraId="17C093BD">
            <w:pPr>
              <w:spacing w:line="480" w:lineRule="atLeast"/>
            </w:pPr>
            <w:r>
              <w:rPr>
                <w:sz w:val="21"/>
                <w:szCs w:val="21"/>
              </w:rPr>
              <w:t>无（知识库含参数可行域先验）</w:t>
            </w:r>
          </w:p>
        </w:tc>
        <w:tc>
          <w:tcPr>
            <w:tcW w:w="2534" w:type="dxa"/>
            <w:vAlign w:val="center"/>
          </w:tcPr>
          <w:p w14:paraId="61E3BB42">
            <w:pPr>
              <w:spacing w:line="480" w:lineRule="atLeast"/>
            </w:pPr>
            <w:r>
              <w:rPr>
                <w:sz w:val="21"/>
                <w:szCs w:val="21"/>
              </w:rPr>
              <w:t>F=2 工况床生成全部失败（试错学习参数域）</w:t>
            </w:r>
          </w:p>
        </w:tc>
        <w:tc>
          <w:tcPr>
            <w:tcW w:w="2999" w:type="dxa"/>
            <w:vAlign w:val="center"/>
          </w:tcPr>
          <w:p w14:paraId="083971C1">
            <w:pPr>
              <w:spacing w:line="480" w:lineRule="atLeast"/>
            </w:pPr>
            <w:r>
              <w:rPr>
                <w:sz w:val="21"/>
                <w:szCs w:val="21"/>
              </w:rPr>
              <w:t>F=2 同一失败 + 零值响应域限制需重跑</w:t>
            </w:r>
          </w:p>
        </w:tc>
      </w:tr>
      <w:tr w14:paraId="08FDBC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vAlign w:val="center"/>
          </w:tcPr>
          <w:p w14:paraId="62AAD6F0">
            <w:pPr>
              <w:spacing w:line="480" w:lineRule="atLeast"/>
              <w:jc w:val="center"/>
            </w:pPr>
            <w:r>
              <w:rPr>
                <w:sz w:val="21"/>
                <w:szCs w:val="21"/>
              </w:rPr>
              <w:t>关键产出</w:t>
            </w:r>
          </w:p>
        </w:tc>
        <w:tc>
          <w:tcPr>
            <w:tcW w:w="1747" w:type="dxa"/>
            <w:vAlign w:val="center"/>
          </w:tcPr>
          <w:p w14:paraId="13A878D3">
            <w:pPr>
              <w:spacing w:line="480" w:lineRule="atLeast"/>
            </w:pPr>
            <w:r>
              <w:rPr>
                <w:sz w:val="21"/>
                <w:szCs w:val="21"/>
              </w:rPr>
              <w:t>两子域标度律+机制链</w:t>
            </w:r>
          </w:p>
        </w:tc>
        <w:tc>
          <w:tcPr>
            <w:tcW w:w="2534" w:type="dxa"/>
            <w:vAlign w:val="center"/>
          </w:tcPr>
          <w:p w14:paraId="3F6C5C61">
            <w:pPr>
              <w:spacing w:line="480" w:lineRule="atLeast"/>
            </w:pPr>
            <w:r>
              <w:rPr>
                <w:sz w:val="21"/>
                <w:szCs w:val="21"/>
              </w:rPr>
              <w:t>双域标度律+留出验证 8%</w:t>
            </w:r>
          </w:p>
        </w:tc>
        <w:tc>
          <w:tcPr>
            <w:tcW w:w="2999" w:type="dxa"/>
            <w:vAlign w:val="center"/>
          </w:tcPr>
          <w:p w14:paraId="29AA034E">
            <w:pPr>
              <w:spacing w:line="480" w:lineRule="atLeast"/>
            </w:pPr>
            <w:r>
              <w:rPr>
                <w:sz w:val="21"/>
                <w:szCs w:val="21"/>
              </w:rPr>
              <w:t>解析随板运动律 eₖ*=Γ(a/d)/4、转变阈值 Γ_c∈(1.05,1.13]、874 工况自主设计</w:t>
            </w:r>
          </w:p>
        </w:tc>
      </w:tr>
      <w:tr w14:paraId="1DBC3B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98" w:type="dxa"/>
            <w:vAlign w:val="center"/>
          </w:tcPr>
          <w:p w14:paraId="3D2454AC">
            <w:pPr>
              <w:spacing w:line="480" w:lineRule="atLeast"/>
              <w:jc w:val="center"/>
            </w:pPr>
            <w:r>
              <w:rPr>
                <w:sz w:val="21"/>
                <w:szCs w:val="21"/>
              </w:rPr>
              <w:t>定量评分（总分）</w:t>
            </w:r>
          </w:p>
        </w:tc>
        <w:tc>
          <w:tcPr>
            <w:tcW w:w="1747" w:type="dxa"/>
            <w:vAlign w:val="center"/>
          </w:tcPr>
          <w:p w14:paraId="7B4382BF">
            <w:pPr>
              <w:spacing w:line="480" w:lineRule="atLeast"/>
            </w:pPr>
            <w:r>
              <w:rPr>
                <w:sz w:val="21"/>
                <w:szCs w:val="21"/>
              </w:rPr>
              <w:t>15</w:t>
            </w:r>
          </w:p>
        </w:tc>
        <w:tc>
          <w:tcPr>
            <w:tcW w:w="2534" w:type="dxa"/>
            <w:vAlign w:val="center"/>
          </w:tcPr>
          <w:p w14:paraId="3603C07F">
            <w:pPr>
              <w:spacing w:line="480" w:lineRule="atLeast"/>
            </w:pPr>
            <w:r>
              <w:rPr>
                <w:sz w:val="21"/>
                <w:szCs w:val="21"/>
              </w:rPr>
              <w:t>13</w:t>
            </w:r>
          </w:p>
        </w:tc>
        <w:tc>
          <w:tcPr>
            <w:tcW w:w="2999" w:type="dxa"/>
            <w:vAlign w:val="center"/>
          </w:tcPr>
          <w:p w14:paraId="4CAE0258">
            <w:pPr>
              <w:spacing w:line="480" w:lineRule="atLeast"/>
            </w:pPr>
            <w:r>
              <w:rPr>
                <w:sz w:val="21"/>
                <w:szCs w:val="21"/>
              </w:rPr>
              <w:t>11（D3：3→2→1）</w:t>
            </w:r>
          </w:p>
        </w:tc>
      </w:tr>
    </w:tbl>
    <w:p w14:paraId="19C725DF">
      <w:pPr>
        <w:spacing w:line="480" w:lineRule="exact"/>
        <w:ind w:firstLine="560" w:firstLineChars="200"/>
      </w:pPr>
      <w:r>
        <w:t xml:space="preserve">三个发现。其一，供给缩减的第一效应是效率而非质量下限：盲知识库完成完整流程（终态与纪律指标同基线，代价 +30% 步数，其中含试错与重设计），载体弹性大（盲知识库后以在线精读补偿，与文献消融后的反向补位互为镜像）。其二，供给归零不阻碍科学发现、阻碍交付收敛：供给归零的配置自主设计了 874 个工况（规模甚至超过基线），发现了解析形式的紧致随板运动律（振动较弱时床层随底板整体运动，动能由底板速度决定，给出不含拟合参数的表达式 </w:t>
      </w:r>
      <m:oMath>
        <m:sSubSup>
          <m:sSubSupPr/>
          <m:e>
            <m:r>
              <m:rPr/>
              <w:rPr>
                <w:sz w:val="24"/>
                <w:szCs w:val="24"/>
              </w:rPr>
              <m:t>e</m:t>
            </m:r>
          </m:e>
          <m:sub>
            <m:r>
              <m:rPr/>
              <w:rPr>
                <w:sz w:val="24"/>
                <w:szCs w:val="24"/>
              </w:rPr>
              <m:t>k</m:t>
            </m:r>
          </m:sub>
          <m:sup>
            <m:r>
              <m:rPr/>
              <w:rPr>
                <w:sz w:val="24"/>
                <w:szCs w:val="24"/>
              </w:rPr>
              <m:t>∗</m:t>
            </m:r>
          </m:sup>
        </m:sSubSup>
        <m:r>
          <m:rPr/>
          <w:rPr>
            <w:sz w:val="24"/>
            <w:szCs w:val="24"/>
          </w:rPr>
          <m:t>=Γ(a/d)/4</m:t>
        </m:r>
      </m:oMath>
      <w:r>
        <w:t xml:space="preserve">——该式是"颗粒完全随正弦底板运动"假设下的运动学极限：此时周期平均 </w:t>
      </w:r>
      <m:oMath>
        <m:sSup>
          <m:sSupPr/>
          <m:e>
            <m:r>
              <m:rPr/>
              <w:rPr>
                <w:sz w:val="24"/>
                <w:szCs w:val="24"/>
              </w:rPr>
              <m:t>⟨v</m:t>
            </m:r>
          </m:e>
          <m:sup>
            <m:r>
              <m:rPr/>
              <w:rPr>
                <w:sz w:val="24"/>
                <w:szCs w:val="24"/>
              </w:rPr>
              <m:t>2</m:t>
            </m:r>
          </m:sup>
        </m:sSup>
        <m:sSup>
          <m:sSupPr/>
          <m:e>
            <m:r>
              <m:rPr/>
              <w:rPr>
                <w:sz w:val="24"/>
                <w:szCs w:val="24"/>
              </w:rPr>
              <m:t>⟩=a</m:t>
            </m:r>
          </m:e>
          <m:sup>
            <m:r>
              <m:rPr/>
              <w:rPr>
                <w:sz w:val="24"/>
                <w:szCs w:val="24"/>
              </w:rPr>
              <m:t>2</m:t>
            </m:r>
          </m:sup>
        </m:sSup>
        <m:sSup>
          <m:sSupPr/>
          <m:e>
            <m:r>
              <m:rPr/>
              <w:rPr>
                <w:sz w:val="24"/>
                <w:szCs w:val="24"/>
              </w:rPr>
              <m:t>ω</m:t>
            </m:r>
          </m:e>
          <m:sup>
            <m:r>
              <m:rPr/>
              <w:rPr>
                <w:sz w:val="24"/>
                <w:szCs w:val="24"/>
              </w:rPr>
              <m:t>2</m:t>
            </m:r>
          </m:sup>
        </m:sSup>
        <m:r>
          <m:rPr/>
          <w:rPr>
            <w:sz w:val="24"/>
            <w:szCs w:val="24"/>
          </w:rPr>
          <m:t>/2</m:t>
        </m:r>
      </m:oMath>
      <w:r>
        <w:t xml:space="preserve">，代入 </w:t>
      </w:r>
      <m:oMath>
        <m:sSubSup>
          <m:sSubSupPr/>
          <m:e>
            <m:r>
              <m:rPr/>
              <w:rPr>
                <w:sz w:val="24"/>
                <w:szCs w:val="24"/>
              </w:rPr>
              <m:t>e</m:t>
            </m:r>
          </m:e>
          <m:sub>
            <m:r>
              <m:rPr/>
              <w:rPr>
                <w:sz w:val="24"/>
                <w:szCs w:val="24"/>
              </w:rPr>
              <m:t>k</m:t>
            </m:r>
          </m:sub>
          <m:sup>
            <m:r>
              <m:rPr/>
              <w:rPr>
                <w:sz w:val="24"/>
                <w:szCs w:val="24"/>
              </w:rPr>
              <m:t>∗</m:t>
            </m:r>
          </m:sup>
        </m:sSubSup>
      </m:oMath>
      <w:r>
        <w:t xml:space="preserve"> 定义即得；该配置的价值在于智能体独立推导并完成了离网格验证，不在于宣称超出现有理论框架的新规律）与精确化的床脱离阈值（仿真观测区间 </w:t>
      </w:r>
      <m:oMath>
        <m:sSub>
          <m:sSubPr/>
          <m:e>
            <m:r>
              <m:rPr/>
              <w:rPr>
                <w:sz w:val="24"/>
                <w:szCs w:val="24"/>
              </w:rPr>
              <m:t>Γ</m:t>
            </m:r>
          </m:e>
          <m:sub>
            <m:r>
              <m:rPr/>
              <w:rPr>
                <w:sz w:val="24"/>
                <w:szCs w:val="24"/>
              </w:rPr>
              <m:t>c</m:t>
            </m:r>
          </m:sub>
        </m:sSub>
        <m:r>
          <m:rPr/>
          <w:rPr>
            <w:sz w:val="24"/>
            <w:szCs w:val="24"/>
          </w:rPr>
          <m:t>∈(1.05,1.13]</m:t>
        </m:r>
      </m:oMath>
      <w:r>
        <w:t xml:space="preserve">，较无黏附颗粒随板接触的理想脱离条件 </w:t>
      </w:r>
      <m:oMath>
        <m:r>
          <m:rPr/>
          <w:rPr>
            <w:sz w:val="24"/>
            <w:szCs w:val="24"/>
          </w:rPr>
          <m:t>Γ≈1</m:t>
        </m:r>
      </m:oMath>
      <w:r>
        <w:t xml:space="preserve"> 略高，属数值仿真口径下的精确化观测），D1（科学实质）位列最高档（盲评中与多个配置并列）；但其终局失败原因全部是记录-表述一致性类问题（工况计数对不上账、数值无留痕、图文断层，跨两轮未修复），D3（严谨自洽）跌至八个配置最低。此处的"供给归零"指移除目标文献并禁用在线检索，模型的预训练知识与方法技能仍在，不是全无先验；在这一条件下，领域知识断供不妨碍做物理，妨碍的是写规范——科学创造力与交付纪律在知识供给上有不同的依赖结构。零供给下引用纪律的退化还有一层更隐蔽的形态：该配置论文的 Eshuis 等条目系张冠李戴（2010 年论文的标题配 2007 年论文的期刊卷页），属模型记忆引文的细微错误，比编造引用更难察觉——内部数值审计与盲评均未标记此条，由一手材料对照发现，引文可验证性是现有质量控制体系的共同薄弱点。其三，各组的科学内容经内部审稿与盲评均确认实质成立（无一被定性为编造或空洞），知识供给影响的是研究的方式与成本，不是真伪。</w:t>
      </w:r>
    </w:p>
    <w:p w14:paraId="578416F4">
      <w:pPr>
        <w:pStyle w:val="3"/>
      </w:pPr>
      <w:bookmarkStart w:id="38" w:name="_Toc10361"/>
      <w:r>
        <w:t>5.5 消融结果总结</w:t>
      </w:r>
      <w:bookmarkEnd w:id="38"/>
    </w:p>
    <w:p w14:paraId="0F97E781">
      <w:pPr>
        <w:spacing w:line="480" w:lineRule="exact"/>
        <w:ind w:firstLine="560" w:firstLineChars="200"/>
      </w:pPr>
      <w:r>
        <w:t>消融结果按两层汇总：过程指标见表 5.6，产出定量评分见表 5.7。</w:t>
      </w:r>
    </w:p>
    <w:p w14:paraId="5441EAF7">
      <w:pPr>
        <w:spacing w:line="480" w:lineRule="exact"/>
        <w:ind w:firstLine="560" w:firstLineChars="200"/>
      </w:pPr>
      <w:r>
        <w:t>评分办法简述。评分量表设四个维度：科学实质与原创性（对研究问题各要素的回应深度，以及发现是否包含解析律、机制识别等新定量结构）、证据与验证（是否有训练集之外的独立验证、误差分析是否诚实、机制结论有几个独立证据源）、严谨与自洽（论文内部的表内算术是否自洽、图文是否一致、参考文献是否完整可信、声明强度是否与证据匹配）、呈现与表达（结构完整性、图的自明性、定量表达是否规范）。各维度 0–4 分，五档锚定：4=要素齐备且有亮点；3=实质满足、仅有轻微缺陷；2=有可见缺陷但非系统性；1=多处缺陷或系统性不自洽；0=不构成满足（完整定义见附录 D）。各配置的最终论文编译为页面图像，乱序匿名后连同研究意图原文与量表提交评分模型（Qwen3.8-Max，视觉读图），评分者不知论文所属配置、终态与过程记录；交付完备性（三件交付物、终态）对评分者不可见，在运行记录层单列。已知局限：每配置单次运行（n=1），单一评分者，评分者与分析者同模型族（上下文独立）；本章全部组间差异均为个案对照下的观察，不构成统计结论。各配置的评分原文（含分维理由）与最终论文 PDF 均留存于盲评记录及各运行目录，随参赛材料可查验。</w:t>
      </w:r>
    </w:p>
    <w:p w14:paraId="4559CDF1">
      <w:pPr>
        <w:pStyle w:val="11"/>
        <w:keepNext/>
        <w:jc w:val="center"/>
      </w:pPr>
      <w:r>
        <w:t>表 5.6 消融实验汇总（过程指标；"引文问题"按未检索验证、出版信息错误、占位条目分类计数，"离网格留出验证"为各配置论文自报的验证误差，口径见 5.1–5.4 节）</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87"/>
        <w:gridCol w:w="989"/>
        <w:gridCol w:w="560"/>
        <w:gridCol w:w="1131"/>
        <w:gridCol w:w="812"/>
        <w:gridCol w:w="1431"/>
        <w:gridCol w:w="1468"/>
      </w:tblGrid>
      <w:tr w14:paraId="312F4C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887" w:type="dxa"/>
            <w:tcBorders>
              <w:bottom w:val="single" w:color="auto" w:sz="4" w:space="0"/>
            </w:tcBorders>
            <w:vAlign w:val="center"/>
          </w:tcPr>
          <w:p w14:paraId="612BF37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配置</w:t>
            </w:r>
          </w:p>
        </w:tc>
        <w:tc>
          <w:tcPr>
            <w:tcW w:w="989" w:type="dxa"/>
            <w:tcBorders>
              <w:bottom w:val="single" w:color="auto" w:sz="4" w:space="0"/>
            </w:tcBorders>
            <w:vAlign w:val="center"/>
          </w:tcPr>
          <w:p w14:paraId="7CF59C0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终态</w:t>
            </w:r>
          </w:p>
        </w:tc>
        <w:tc>
          <w:tcPr>
            <w:tcW w:w="560" w:type="dxa"/>
            <w:tcBorders>
              <w:bottom w:val="single" w:color="auto" w:sz="4" w:space="0"/>
            </w:tcBorders>
            <w:vAlign w:val="center"/>
          </w:tcPr>
          <w:p w14:paraId="6D9C6F8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步数</w:t>
            </w:r>
          </w:p>
        </w:tc>
        <w:tc>
          <w:tcPr>
            <w:tcW w:w="1131" w:type="dxa"/>
            <w:tcBorders>
              <w:bottom w:val="single" w:color="auto" w:sz="4" w:space="0"/>
            </w:tcBorders>
            <w:vAlign w:val="center"/>
          </w:tcPr>
          <w:p w14:paraId="0319C52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审稿轮次</w:t>
            </w:r>
          </w:p>
        </w:tc>
        <w:tc>
          <w:tcPr>
            <w:tcW w:w="812" w:type="dxa"/>
            <w:tcBorders>
              <w:bottom w:val="single" w:color="auto" w:sz="4" w:space="0"/>
            </w:tcBorders>
            <w:vAlign w:val="center"/>
          </w:tcPr>
          <w:p w14:paraId="090ED97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无出处数值</w:t>
            </w:r>
          </w:p>
        </w:tc>
        <w:tc>
          <w:tcPr>
            <w:tcW w:w="1431" w:type="dxa"/>
            <w:tcBorders>
              <w:bottom w:val="single" w:color="auto" w:sz="4" w:space="0"/>
            </w:tcBorders>
            <w:vAlign w:val="center"/>
          </w:tcPr>
          <w:p w14:paraId="3E56B86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引文问题</w:t>
            </w:r>
          </w:p>
        </w:tc>
        <w:tc>
          <w:tcPr>
            <w:tcW w:w="1468" w:type="dxa"/>
            <w:tcBorders>
              <w:bottom w:val="single" w:color="auto" w:sz="4" w:space="0"/>
            </w:tcBorders>
            <w:vAlign w:val="center"/>
          </w:tcPr>
          <w:p w14:paraId="052B2B9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离网格留出验证</w:t>
            </w:r>
          </w:p>
        </w:tc>
      </w:tr>
      <w:tr w14:paraId="601295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tcBorders>
              <w:top w:val="single" w:color="auto" w:sz="4" w:space="0"/>
            </w:tcBorders>
            <w:vAlign w:val="center"/>
          </w:tcPr>
          <w:p w14:paraId="0E02C61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基线（全量）</w:t>
            </w:r>
          </w:p>
        </w:tc>
        <w:tc>
          <w:tcPr>
            <w:tcW w:w="989" w:type="dxa"/>
            <w:tcBorders>
              <w:top w:val="single" w:color="auto" w:sz="4" w:space="0"/>
            </w:tcBorders>
            <w:vAlign w:val="center"/>
          </w:tcPr>
          <w:p w14:paraId="13496C7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通过审稿</w:t>
            </w:r>
          </w:p>
        </w:tc>
        <w:tc>
          <w:tcPr>
            <w:tcW w:w="560" w:type="dxa"/>
            <w:tcBorders>
              <w:top w:val="single" w:color="auto" w:sz="4" w:space="0"/>
            </w:tcBorders>
            <w:vAlign w:val="center"/>
          </w:tcPr>
          <w:p w14:paraId="66315E4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205</w:t>
            </w:r>
          </w:p>
        </w:tc>
        <w:tc>
          <w:tcPr>
            <w:tcW w:w="1131" w:type="dxa"/>
            <w:tcBorders>
              <w:top w:val="single" w:color="auto" w:sz="4" w:space="0"/>
            </w:tcBorders>
            <w:vAlign w:val="center"/>
          </w:tcPr>
          <w:p w14:paraId="7F29DB1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轮（修订后通过）</w:t>
            </w:r>
          </w:p>
        </w:tc>
        <w:tc>
          <w:tcPr>
            <w:tcW w:w="812" w:type="dxa"/>
            <w:tcBorders>
              <w:top w:val="single" w:color="auto" w:sz="4" w:space="0"/>
            </w:tcBorders>
            <w:vAlign w:val="center"/>
          </w:tcPr>
          <w:p w14:paraId="1C24A95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31" w:type="dxa"/>
            <w:tcBorders>
              <w:top w:val="single" w:color="auto" w:sz="4" w:space="0"/>
            </w:tcBorders>
            <w:vAlign w:val="center"/>
          </w:tcPr>
          <w:p w14:paraId="0151EDC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68" w:type="dxa"/>
            <w:tcBorders>
              <w:top w:val="single" w:color="auto" w:sz="4" w:space="0"/>
            </w:tcBorders>
            <w:vAlign w:val="center"/>
          </w:tcPr>
          <w:p w14:paraId="6E35AA2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16.5%（第一轮冻结模型）</w:t>
            </w:r>
          </w:p>
        </w:tc>
      </w:tr>
      <w:tr w14:paraId="40E72D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492B032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禁用文献检索</w:t>
            </w:r>
          </w:p>
        </w:tc>
        <w:tc>
          <w:tcPr>
            <w:tcW w:w="989" w:type="dxa"/>
            <w:vAlign w:val="center"/>
          </w:tcPr>
          <w:p w14:paraId="04B626E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两轮驳回</w:t>
            </w:r>
          </w:p>
        </w:tc>
        <w:tc>
          <w:tcPr>
            <w:tcW w:w="560" w:type="dxa"/>
            <w:vAlign w:val="center"/>
          </w:tcPr>
          <w:p w14:paraId="43D0505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125</w:t>
            </w:r>
          </w:p>
        </w:tc>
        <w:tc>
          <w:tcPr>
            <w:tcW w:w="1131" w:type="dxa"/>
            <w:vAlign w:val="center"/>
          </w:tcPr>
          <w:p w14:paraId="271B3B3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轮（未修复）</w:t>
            </w:r>
          </w:p>
        </w:tc>
        <w:tc>
          <w:tcPr>
            <w:tcW w:w="812" w:type="dxa"/>
            <w:vAlign w:val="center"/>
          </w:tcPr>
          <w:p w14:paraId="0B913CB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31" w:type="dxa"/>
            <w:vAlign w:val="center"/>
          </w:tcPr>
          <w:p w14:paraId="02E5749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1（二手转引未检索验证）</w:t>
            </w:r>
          </w:p>
        </w:tc>
        <w:tc>
          <w:tcPr>
            <w:tcW w:w="1468" w:type="dxa"/>
            <w:vAlign w:val="center"/>
          </w:tcPr>
          <w:p w14:paraId="2FC30E1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8.9%</w:t>
            </w:r>
          </w:p>
        </w:tc>
      </w:tr>
      <w:tr w14:paraId="4F38D6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2FA125A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关闭审稿门</w:t>
            </w:r>
          </w:p>
        </w:tc>
        <w:tc>
          <w:tcPr>
            <w:tcW w:w="989" w:type="dxa"/>
            <w:vAlign w:val="center"/>
          </w:tcPr>
          <w:p w14:paraId="5D05CAC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未经评审直接提交</w:t>
            </w:r>
          </w:p>
        </w:tc>
        <w:tc>
          <w:tcPr>
            <w:tcW w:w="560" w:type="dxa"/>
            <w:vAlign w:val="center"/>
          </w:tcPr>
          <w:p w14:paraId="1D978C5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198</w:t>
            </w:r>
          </w:p>
        </w:tc>
        <w:tc>
          <w:tcPr>
            <w:tcW w:w="1131" w:type="dxa"/>
            <w:vAlign w:val="center"/>
          </w:tcPr>
          <w:p w14:paraId="369B1E1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无</w:t>
            </w:r>
          </w:p>
        </w:tc>
        <w:tc>
          <w:tcPr>
            <w:tcW w:w="812" w:type="dxa"/>
            <w:vAlign w:val="center"/>
          </w:tcPr>
          <w:p w14:paraId="04D0235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1（事后补查）</w:t>
            </w:r>
          </w:p>
        </w:tc>
        <w:tc>
          <w:tcPr>
            <w:tcW w:w="1431" w:type="dxa"/>
            <w:vAlign w:val="center"/>
          </w:tcPr>
          <w:p w14:paraId="79B3A78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2（占位条目）</w:t>
            </w:r>
          </w:p>
        </w:tc>
        <w:tc>
          <w:tcPr>
            <w:tcW w:w="1468" w:type="dxa"/>
            <w:vAlign w:val="center"/>
          </w:tcPr>
          <w:p w14:paraId="44D8F0E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38.2%</w:t>
            </w:r>
          </w:p>
        </w:tc>
      </w:tr>
      <w:tr w14:paraId="37CDB9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4F9B65C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剥离机制调查引导</w:t>
            </w:r>
          </w:p>
        </w:tc>
        <w:tc>
          <w:tcPr>
            <w:tcW w:w="989" w:type="dxa"/>
            <w:vAlign w:val="center"/>
          </w:tcPr>
          <w:p w14:paraId="6D736DF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两轮驳回</w:t>
            </w:r>
          </w:p>
        </w:tc>
        <w:tc>
          <w:tcPr>
            <w:tcW w:w="560" w:type="dxa"/>
            <w:vAlign w:val="center"/>
          </w:tcPr>
          <w:p w14:paraId="61C82D4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147</w:t>
            </w:r>
          </w:p>
        </w:tc>
        <w:tc>
          <w:tcPr>
            <w:tcW w:w="1131" w:type="dxa"/>
            <w:vAlign w:val="center"/>
          </w:tcPr>
          <w:p w14:paraId="36DB266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轮（未修复）</w:t>
            </w:r>
          </w:p>
        </w:tc>
        <w:tc>
          <w:tcPr>
            <w:tcW w:w="812" w:type="dxa"/>
            <w:vAlign w:val="center"/>
          </w:tcPr>
          <w:p w14:paraId="0E2730D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5</w:t>
            </w:r>
          </w:p>
        </w:tc>
        <w:tc>
          <w:tcPr>
            <w:tcW w:w="1431" w:type="dxa"/>
            <w:vAlign w:val="center"/>
          </w:tcPr>
          <w:p w14:paraId="3A87F9B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68" w:type="dxa"/>
            <w:vAlign w:val="center"/>
          </w:tcPr>
          <w:p w14:paraId="4B022FB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8.2%</w:t>
            </w:r>
          </w:p>
        </w:tc>
      </w:tr>
      <w:tr w14:paraId="3EE68F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57AB383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盲知识库</w:t>
            </w:r>
          </w:p>
        </w:tc>
        <w:tc>
          <w:tcPr>
            <w:tcW w:w="989" w:type="dxa"/>
            <w:vAlign w:val="center"/>
          </w:tcPr>
          <w:p w14:paraId="44295E6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通过审稿</w:t>
            </w:r>
          </w:p>
        </w:tc>
        <w:tc>
          <w:tcPr>
            <w:tcW w:w="560" w:type="dxa"/>
            <w:vAlign w:val="center"/>
          </w:tcPr>
          <w:p w14:paraId="12601A3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267</w:t>
            </w:r>
          </w:p>
        </w:tc>
        <w:tc>
          <w:tcPr>
            <w:tcW w:w="1131" w:type="dxa"/>
            <w:vAlign w:val="center"/>
          </w:tcPr>
          <w:p w14:paraId="5E0635C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轮（修订后通过）</w:t>
            </w:r>
          </w:p>
        </w:tc>
        <w:tc>
          <w:tcPr>
            <w:tcW w:w="812" w:type="dxa"/>
            <w:vAlign w:val="center"/>
          </w:tcPr>
          <w:p w14:paraId="72C14FF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31" w:type="dxa"/>
            <w:vAlign w:val="center"/>
          </w:tcPr>
          <w:p w14:paraId="37E5CD0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68" w:type="dxa"/>
            <w:vAlign w:val="center"/>
          </w:tcPr>
          <w:p w14:paraId="1D7F032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8%</w:t>
            </w:r>
          </w:p>
        </w:tc>
      </w:tr>
      <w:tr w14:paraId="1312E3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67A18AD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知识供给归零</w:t>
            </w:r>
          </w:p>
        </w:tc>
        <w:tc>
          <w:tcPr>
            <w:tcW w:w="989" w:type="dxa"/>
            <w:vAlign w:val="center"/>
          </w:tcPr>
          <w:p w14:paraId="7802AC2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两轮驳回</w:t>
            </w:r>
          </w:p>
        </w:tc>
        <w:tc>
          <w:tcPr>
            <w:tcW w:w="560" w:type="dxa"/>
            <w:vAlign w:val="center"/>
          </w:tcPr>
          <w:p w14:paraId="4BE94FC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210</w:t>
            </w:r>
          </w:p>
        </w:tc>
        <w:tc>
          <w:tcPr>
            <w:tcW w:w="1131" w:type="dxa"/>
            <w:vAlign w:val="center"/>
          </w:tcPr>
          <w:p w14:paraId="3D5D748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轮（未修复）</w:t>
            </w:r>
          </w:p>
        </w:tc>
        <w:tc>
          <w:tcPr>
            <w:tcW w:w="812" w:type="dxa"/>
            <w:vAlign w:val="center"/>
          </w:tcPr>
          <w:p w14:paraId="6B3A97B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w:t>
            </w:r>
          </w:p>
        </w:tc>
        <w:tc>
          <w:tcPr>
            <w:tcW w:w="1431" w:type="dxa"/>
            <w:vAlign w:val="center"/>
          </w:tcPr>
          <w:p w14:paraId="7328662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1（出版信息张冠李戴）</w:t>
            </w:r>
          </w:p>
        </w:tc>
        <w:tc>
          <w:tcPr>
            <w:tcW w:w="1468" w:type="dxa"/>
            <w:vAlign w:val="center"/>
          </w:tcPr>
          <w:p w14:paraId="58EF9A8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12.9%（转变带 53%）</w:t>
            </w:r>
          </w:p>
        </w:tc>
      </w:tr>
      <w:tr w14:paraId="00F2EA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018B72C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国产低档基座（DeepSeek-V4-Flash）</w:t>
            </w:r>
          </w:p>
        </w:tc>
        <w:tc>
          <w:tcPr>
            <w:tcW w:w="989" w:type="dxa"/>
            <w:vAlign w:val="center"/>
          </w:tcPr>
          <w:p w14:paraId="34B52E8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通过审稿</w:t>
            </w:r>
          </w:p>
        </w:tc>
        <w:tc>
          <w:tcPr>
            <w:tcW w:w="560" w:type="dxa"/>
            <w:vAlign w:val="center"/>
          </w:tcPr>
          <w:p w14:paraId="71A55CF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207</w:t>
            </w:r>
          </w:p>
        </w:tc>
        <w:tc>
          <w:tcPr>
            <w:tcW w:w="1131" w:type="dxa"/>
            <w:vAlign w:val="center"/>
          </w:tcPr>
          <w:p w14:paraId="2C8A726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轮（修订后通过）</w:t>
            </w:r>
          </w:p>
        </w:tc>
        <w:tc>
          <w:tcPr>
            <w:tcW w:w="812" w:type="dxa"/>
            <w:vAlign w:val="center"/>
          </w:tcPr>
          <w:p w14:paraId="3D184A4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31" w:type="dxa"/>
            <w:vAlign w:val="center"/>
          </w:tcPr>
          <w:p w14:paraId="712B91F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68" w:type="dxa"/>
            <w:vAlign w:val="center"/>
          </w:tcPr>
          <w:p w14:paraId="2ACFF60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无</w:t>
            </w:r>
          </w:p>
        </w:tc>
      </w:tr>
      <w:tr w14:paraId="6522E0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87" w:type="dxa"/>
            <w:vAlign w:val="center"/>
          </w:tcPr>
          <w:p w14:paraId="16E06F7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国外高档基座（gpt-5.6-sol）</w:t>
            </w:r>
          </w:p>
        </w:tc>
        <w:tc>
          <w:tcPr>
            <w:tcW w:w="989" w:type="dxa"/>
            <w:vAlign w:val="center"/>
          </w:tcPr>
          <w:p w14:paraId="53DE728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通过审稿</w:t>
            </w:r>
          </w:p>
        </w:tc>
        <w:tc>
          <w:tcPr>
            <w:tcW w:w="560" w:type="dxa"/>
            <w:vAlign w:val="center"/>
          </w:tcPr>
          <w:p w14:paraId="66B1057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107</w:t>
            </w:r>
          </w:p>
        </w:tc>
        <w:tc>
          <w:tcPr>
            <w:tcW w:w="1131" w:type="dxa"/>
            <w:vAlign w:val="center"/>
          </w:tcPr>
          <w:p w14:paraId="3040287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2 轮（修订后通过）</w:t>
            </w:r>
          </w:p>
        </w:tc>
        <w:tc>
          <w:tcPr>
            <w:tcW w:w="812" w:type="dxa"/>
            <w:vAlign w:val="center"/>
          </w:tcPr>
          <w:p w14:paraId="3228D3C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31" w:type="dxa"/>
            <w:vAlign w:val="center"/>
          </w:tcPr>
          <w:p w14:paraId="5CC4AAC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0</w:t>
            </w:r>
          </w:p>
        </w:tc>
        <w:tc>
          <w:tcPr>
            <w:tcW w:w="1468" w:type="dxa"/>
            <w:vAlign w:val="center"/>
          </w:tcPr>
          <w:p w14:paraId="2A2FCA7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无</w:t>
            </w:r>
          </w:p>
        </w:tc>
      </w:tr>
    </w:tbl>
    <w:p w14:paraId="21992861">
      <w:pPr>
        <w:pStyle w:val="11"/>
        <w:keepNext/>
        <w:jc w:val="center"/>
      </w:pPr>
      <w:r>
        <w:t>表 5.7 产出定量评分（盲评，各维度 0–4，总分 16；交付完备性由运行记录提取，见表 5.6，不进入评分）</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664"/>
        <w:gridCol w:w="853"/>
        <w:gridCol w:w="1067"/>
        <w:gridCol w:w="1067"/>
        <w:gridCol w:w="1067"/>
        <w:gridCol w:w="560"/>
      </w:tblGrid>
      <w:tr w14:paraId="17E42E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664" w:type="dxa"/>
            <w:vAlign w:val="center"/>
          </w:tcPr>
          <w:p w14:paraId="03C3A41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配置</w:t>
            </w:r>
          </w:p>
        </w:tc>
        <w:tc>
          <w:tcPr>
            <w:tcW w:w="853" w:type="dxa"/>
            <w:vAlign w:val="center"/>
          </w:tcPr>
          <w:p w14:paraId="6C7BAB7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科学实质</w:t>
            </w:r>
          </w:p>
        </w:tc>
        <w:tc>
          <w:tcPr>
            <w:tcW w:w="1067" w:type="dxa"/>
            <w:vAlign w:val="center"/>
          </w:tcPr>
          <w:p w14:paraId="3994901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证据与验证</w:t>
            </w:r>
          </w:p>
        </w:tc>
        <w:tc>
          <w:tcPr>
            <w:tcW w:w="1067" w:type="dxa"/>
            <w:vAlign w:val="center"/>
          </w:tcPr>
          <w:p w14:paraId="3A60A12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严谨与自洽</w:t>
            </w:r>
          </w:p>
        </w:tc>
        <w:tc>
          <w:tcPr>
            <w:tcW w:w="1067" w:type="dxa"/>
            <w:vAlign w:val="center"/>
          </w:tcPr>
          <w:p w14:paraId="622C25D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呈现与表达</w:t>
            </w:r>
          </w:p>
        </w:tc>
        <w:tc>
          <w:tcPr>
            <w:tcW w:w="560" w:type="dxa"/>
            <w:vAlign w:val="center"/>
          </w:tcPr>
          <w:p w14:paraId="6B0F101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总分</w:t>
            </w:r>
          </w:p>
        </w:tc>
      </w:tr>
      <w:tr w14:paraId="326B86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25FA2DE0">
            <w:pPr>
              <w:spacing w:line="480" w:lineRule="atLeast"/>
              <w:jc w:val="center"/>
            </w:pPr>
            <w:r>
              <w:rPr>
                <w:sz w:val="21"/>
                <w:szCs w:val="21"/>
              </w:rPr>
              <w:t>基线（全量）</w:t>
            </w:r>
          </w:p>
        </w:tc>
        <w:tc>
          <w:tcPr>
            <w:tcW w:w="853" w:type="dxa"/>
            <w:vAlign w:val="center"/>
          </w:tcPr>
          <w:p w14:paraId="39A73F16">
            <w:pPr>
              <w:spacing w:line="480" w:lineRule="atLeast"/>
            </w:pPr>
            <w:r>
              <w:rPr>
                <w:sz w:val="21"/>
                <w:szCs w:val="21"/>
              </w:rPr>
              <w:t>4</w:t>
            </w:r>
          </w:p>
        </w:tc>
        <w:tc>
          <w:tcPr>
            <w:tcW w:w="1067" w:type="dxa"/>
            <w:vAlign w:val="center"/>
          </w:tcPr>
          <w:p w14:paraId="1276E399">
            <w:pPr>
              <w:spacing w:line="480" w:lineRule="atLeast"/>
            </w:pPr>
            <w:r>
              <w:rPr>
                <w:sz w:val="21"/>
                <w:szCs w:val="21"/>
              </w:rPr>
              <w:t>4</w:t>
            </w:r>
          </w:p>
        </w:tc>
        <w:tc>
          <w:tcPr>
            <w:tcW w:w="1067" w:type="dxa"/>
            <w:vAlign w:val="center"/>
          </w:tcPr>
          <w:p w14:paraId="62C71B66">
            <w:pPr>
              <w:spacing w:line="480" w:lineRule="atLeast"/>
            </w:pPr>
            <w:r>
              <w:rPr>
                <w:sz w:val="21"/>
                <w:szCs w:val="21"/>
              </w:rPr>
              <w:t>3</w:t>
            </w:r>
          </w:p>
        </w:tc>
        <w:tc>
          <w:tcPr>
            <w:tcW w:w="1067" w:type="dxa"/>
            <w:vAlign w:val="center"/>
          </w:tcPr>
          <w:p w14:paraId="0CC37901">
            <w:pPr>
              <w:spacing w:line="480" w:lineRule="atLeast"/>
            </w:pPr>
            <w:r>
              <w:rPr>
                <w:sz w:val="21"/>
                <w:szCs w:val="21"/>
              </w:rPr>
              <w:t>4</w:t>
            </w:r>
          </w:p>
        </w:tc>
        <w:tc>
          <w:tcPr>
            <w:tcW w:w="560" w:type="dxa"/>
            <w:vAlign w:val="center"/>
          </w:tcPr>
          <w:p w14:paraId="2E5E5960">
            <w:pPr>
              <w:spacing w:line="480" w:lineRule="atLeast"/>
            </w:pPr>
            <w:r>
              <w:rPr>
                <w:sz w:val="21"/>
                <w:szCs w:val="21"/>
              </w:rPr>
              <w:t>15</w:t>
            </w:r>
          </w:p>
        </w:tc>
      </w:tr>
      <w:tr w14:paraId="016159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335F0B5C">
            <w:pPr>
              <w:spacing w:line="480" w:lineRule="atLeast"/>
              <w:jc w:val="center"/>
            </w:pPr>
            <w:r>
              <w:rPr>
                <w:sz w:val="21"/>
                <w:szCs w:val="21"/>
              </w:rPr>
              <w:t>禁用文献检索</w:t>
            </w:r>
          </w:p>
        </w:tc>
        <w:tc>
          <w:tcPr>
            <w:tcW w:w="853" w:type="dxa"/>
            <w:vAlign w:val="center"/>
          </w:tcPr>
          <w:p w14:paraId="41CD7C7D">
            <w:pPr>
              <w:spacing w:line="480" w:lineRule="atLeast"/>
            </w:pPr>
            <w:r>
              <w:rPr>
                <w:sz w:val="21"/>
                <w:szCs w:val="21"/>
              </w:rPr>
              <w:t>4</w:t>
            </w:r>
          </w:p>
        </w:tc>
        <w:tc>
          <w:tcPr>
            <w:tcW w:w="1067" w:type="dxa"/>
            <w:vAlign w:val="center"/>
          </w:tcPr>
          <w:p w14:paraId="24BC22BA">
            <w:pPr>
              <w:spacing w:line="480" w:lineRule="atLeast"/>
            </w:pPr>
            <w:r>
              <w:rPr>
                <w:sz w:val="21"/>
                <w:szCs w:val="21"/>
              </w:rPr>
              <w:t>4</w:t>
            </w:r>
          </w:p>
        </w:tc>
        <w:tc>
          <w:tcPr>
            <w:tcW w:w="1067" w:type="dxa"/>
            <w:vAlign w:val="center"/>
          </w:tcPr>
          <w:p w14:paraId="564455D1">
            <w:pPr>
              <w:spacing w:line="480" w:lineRule="atLeast"/>
            </w:pPr>
            <w:r>
              <w:rPr>
                <w:sz w:val="21"/>
                <w:szCs w:val="21"/>
              </w:rPr>
              <w:t>2</w:t>
            </w:r>
          </w:p>
        </w:tc>
        <w:tc>
          <w:tcPr>
            <w:tcW w:w="1067" w:type="dxa"/>
            <w:vAlign w:val="center"/>
          </w:tcPr>
          <w:p w14:paraId="41ECF75C">
            <w:pPr>
              <w:spacing w:line="480" w:lineRule="atLeast"/>
            </w:pPr>
            <w:r>
              <w:rPr>
                <w:sz w:val="21"/>
                <w:szCs w:val="21"/>
              </w:rPr>
              <w:t>4</w:t>
            </w:r>
          </w:p>
        </w:tc>
        <w:tc>
          <w:tcPr>
            <w:tcW w:w="560" w:type="dxa"/>
            <w:vAlign w:val="center"/>
          </w:tcPr>
          <w:p w14:paraId="64C3B04F">
            <w:pPr>
              <w:spacing w:line="480" w:lineRule="atLeast"/>
            </w:pPr>
            <w:r>
              <w:rPr>
                <w:sz w:val="21"/>
                <w:szCs w:val="21"/>
              </w:rPr>
              <w:t>14</w:t>
            </w:r>
          </w:p>
        </w:tc>
      </w:tr>
      <w:tr w14:paraId="45C26A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6949BC10">
            <w:pPr>
              <w:spacing w:line="480" w:lineRule="atLeast"/>
              <w:jc w:val="center"/>
            </w:pPr>
            <w:r>
              <w:rPr>
                <w:sz w:val="21"/>
                <w:szCs w:val="21"/>
              </w:rPr>
              <w:t>剥离机制调查引导</w:t>
            </w:r>
          </w:p>
        </w:tc>
        <w:tc>
          <w:tcPr>
            <w:tcW w:w="853" w:type="dxa"/>
            <w:vAlign w:val="center"/>
          </w:tcPr>
          <w:p w14:paraId="037E4908">
            <w:pPr>
              <w:spacing w:line="480" w:lineRule="atLeast"/>
            </w:pPr>
            <w:r>
              <w:rPr>
                <w:sz w:val="21"/>
                <w:szCs w:val="21"/>
              </w:rPr>
              <w:t>4</w:t>
            </w:r>
          </w:p>
        </w:tc>
        <w:tc>
          <w:tcPr>
            <w:tcW w:w="1067" w:type="dxa"/>
            <w:vAlign w:val="center"/>
          </w:tcPr>
          <w:p w14:paraId="27217492">
            <w:pPr>
              <w:spacing w:line="480" w:lineRule="atLeast"/>
            </w:pPr>
            <w:r>
              <w:rPr>
                <w:sz w:val="21"/>
                <w:szCs w:val="21"/>
              </w:rPr>
              <w:t>4</w:t>
            </w:r>
          </w:p>
        </w:tc>
        <w:tc>
          <w:tcPr>
            <w:tcW w:w="1067" w:type="dxa"/>
            <w:vAlign w:val="center"/>
          </w:tcPr>
          <w:p w14:paraId="1481443A">
            <w:pPr>
              <w:spacing w:line="480" w:lineRule="atLeast"/>
            </w:pPr>
            <w:r>
              <w:rPr>
                <w:sz w:val="21"/>
                <w:szCs w:val="21"/>
              </w:rPr>
              <w:t>3</w:t>
            </w:r>
          </w:p>
        </w:tc>
        <w:tc>
          <w:tcPr>
            <w:tcW w:w="1067" w:type="dxa"/>
            <w:vAlign w:val="center"/>
          </w:tcPr>
          <w:p w14:paraId="0A0BF929">
            <w:pPr>
              <w:spacing w:line="480" w:lineRule="atLeast"/>
            </w:pPr>
            <w:r>
              <w:rPr>
                <w:sz w:val="21"/>
                <w:szCs w:val="21"/>
              </w:rPr>
              <w:t>3</w:t>
            </w:r>
          </w:p>
        </w:tc>
        <w:tc>
          <w:tcPr>
            <w:tcW w:w="560" w:type="dxa"/>
            <w:vAlign w:val="center"/>
          </w:tcPr>
          <w:p w14:paraId="2D0BD5FC">
            <w:pPr>
              <w:spacing w:line="480" w:lineRule="atLeast"/>
            </w:pPr>
            <w:r>
              <w:rPr>
                <w:sz w:val="21"/>
                <w:szCs w:val="21"/>
              </w:rPr>
              <w:t>14</w:t>
            </w:r>
          </w:p>
        </w:tc>
      </w:tr>
      <w:tr w14:paraId="79E682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509B3A0E">
            <w:pPr>
              <w:spacing w:line="480" w:lineRule="atLeast"/>
              <w:jc w:val="center"/>
            </w:pPr>
            <w:r>
              <w:rPr>
                <w:sz w:val="21"/>
                <w:szCs w:val="21"/>
              </w:rPr>
              <w:t>盲知识库</w:t>
            </w:r>
          </w:p>
        </w:tc>
        <w:tc>
          <w:tcPr>
            <w:tcW w:w="853" w:type="dxa"/>
            <w:vAlign w:val="center"/>
          </w:tcPr>
          <w:p w14:paraId="20BE26D3">
            <w:pPr>
              <w:spacing w:line="480" w:lineRule="atLeast"/>
            </w:pPr>
            <w:r>
              <w:rPr>
                <w:sz w:val="21"/>
                <w:szCs w:val="21"/>
              </w:rPr>
              <w:t>4</w:t>
            </w:r>
          </w:p>
        </w:tc>
        <w:tc>
          <w:tcPr>
            <w:tcW w:w="1067" w:type="dxa"/>
            <w:vAlign w:val="center"/>
          </w:tcPr>
          <w:p w14:paraId="0ACD9A1E">
            <w:pPr>
              <w:spacing w:line="480" w:lineRule="atLeast"/>
            </w:pPr>
            <w:r>
              <w:rPr>
                <w:sz w:val="21"/>
                <w:szCs w:val="21"/>
              </w:rPr>
              <w:t>4</w:t>
            </w:r>
          </w:p>
        </w:tc>
        <w:tc>
          <w:tcPr>
            <w:tcW w:w="1067" w:type="dxa"/>
            <w:vAlign w:val="center"/>
          </w:tcPr>
          <w:p w14:paraId="6E40283D">
            <w:pPr>
              <w:spacing w:line="480" w:lineRule="atLeast"/>
            </w:pPr>
            <w:r>
              <w:rPr>
                <w:sz w:val="21"/>
                <w:szCs w:val="21"/>
              </w:rPr>
              <w:t>2</w:t>
            </w:r>
          </w:p>
        </w:tc>
        <w:tc>
          <w:tcPr>
            <w:tcW w:w="1067" w:type="dxa"/>
            <w:vAlign w:val="center"/>
          </w:tcPr>
          <w:p w14:paraId="1ACC7243">
            <w:pPr>
              <w:spacing w:line="480" w:lineRule="atLeast"/>
            </w:pPr>
            <w:r>
              <w:rPr>
                <w:sz w:val="21"/>
                <w:szCs w:val="21"/>
              </w:rPr>
              <w:t>3</w:t>
            </w:r>
          </w:p>
        </w:tc>
        <w:tc>
          <w:tcPr>
            <w:tcW w:w="560" w:type="dxa"/>
            <w:vAlign w:val="center"/>
          </w:tcPr>
          <w:p w14:paraId="317ABC49">
            <w:pPr>
              <w:spacing w:line="480" w:lineRule="atLeast"/>
            </w:pPr>
            <w:r>
              <w:rPr>
                <w:sz w:val="21"/>
                <w:szCs w:val="21"/>
              </w:rPr>
              <w:t>13</w:t>
            </w:r>
          </w:p>
        </w:tc>
      </w:tr>
      <w:tr w14:paraId="29298C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39CC5C06">
            <w:pPr>
              <w:spacing w:line="480" w:lineRule="atLeast"/>
              <w:jc w:val="center"/>
            </w:pPr>
            <w:r>
              <w:rPr>
                <w:sz w:val="21"/>
                <w:szCs w:val="21"/>
              </w:rPr>
              <w:t>知识供给归零</w:t>
            </w:r>
          </w:p>
        </w:tc>
        <w:tc>
          <w:tcPr>
            <w:tcW w:w="853" w:type="dxa"/>
            <w:vAlign w:val="center"/>
          </w:tcPr>
          <w:p w14:paraId="451910D1">
            <w:pPr>
              <w:spacing w:line="480" w:lineRule="atLeast"/>
            </w:pPr>
            <w:r>
              <w:rPr>
                <w:sz w:val="21"/>
                <w:szCs w:val="21"/>
              </w:rPr>
              <w:t>4</w:t>
            </w:r>
          </w:p>
        </w:tc>
        <w:tc>
          <w:tcPr>
            <w:tcW w:w="1067" w:type="dxa"/>
            <w:vAlign w:val="center"/>
          </w:tcPr>
          <w:p w14:paraId="6A8494B2">
            <w:pPr>
              <w:spacing w:line="480" w:lineRule="atLeast"/>
            </w:pPr>
            <w:r>
              <w:rPr>
                <w:sz w:val="21"/>
                <w:szCs w:val="21"/>
              </w:rPr>
              <w:t>4</w:t>
            </w:r>
          </w:p>
        </w:tc>
        <w:tc>
          <w:tcPr>
            <w:tcW w:w="1067" w:type="dxa"/>
            <w:vAlign w:val="center"/>
          </w:tcPr>
          <w:p w14:paraId="78AAF1C6">
            <w:pPr>
              <w:spacing w:line="480" w:lineRule="atLeast"/>
            </w:pPr>
            <w:r>
              <w:rPr>
                <w:sz w:val="21"/>
                <w:szCs w:val="21"/>
              </w:rPr>
              <w:t>1</w:t>
            </w:r>
          </w:p>
        </w:tc>
        <w:tc>
          <w:tcPr>
            <w:tcW w:w="1067" w:type="dxa"/>
            <w:vAlign w:val="center"/>
          </w:tcPr>
          <w:p w14:paraId="254E053F">
            <w:pPr>
              <w:spacing w:line="480" w:lineRule="atLeast"/>
            </w:pPr>
            <w:r>
              <w:rPr>
                <w:sz w:val="21"/>
                <w:szCs w:val="21"/>
              </w:rPr>
              <w:t>2</w:t>
            </w:r>
          </w:p>
        </w:tc>
        <w:tc>
          <w:tcPr>
            <w:tcW w:w="560" w:type="dxa"/>
            <w:vAlign w:val="center"/>
          </w:tcPr>
          <w:p w14:paraId="76E40007">
            <w:pPr>
              <w:spacing w:line="480" w:lineRule="atLeast"/>
            </w:pPr>
            <w:r>
              <w:rPr>
                <w:sz w:val="21"/>
                <w:szCs w:val="21"/>
              </w:rPr>
              <w:t>11</w:t>
            </w:r>
          </w:p>
        </w:tc>
      </w:tr>
      <w:tr w14:paraId="472EC2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46F05542">
            <w:pPr>
              <w:spacing w:line="480" w:lineRule="atLeast"/>
              <w:jc w:val="center"/>
            </w:pPr>
            <w:r>
              <w:rPr>
                <w:sz w:val="21"/>
                <w:szCs w:val="21"/>
              </w:rPr>
              <w:t>关闭审稿门</w:t>
            </w:r>
          </w:p>
        </w:tc>
        <w:tc>
          <w:tcPr>
            <w:tcW w:w="853" w:type="dxa"/>
            <w:vAlign w:val="center"/>
          </w:tcPr>
          <w:p w14:paraId="03E3B2A3">
            <w:pPr>
              <w:spacing w:line="480" w:lineRule="atLeast"/>
            </w:pPr>
            <w:r>
              <w:rPr>
                <w:sz w:val="21"/>
                <w:szCs w:val="21"/>
              </w:rPr>
              <w:t>3</w:t>
            </w:r>
          </w:p>
        </w:tc>
        <w:tc>
          <w:tcPr>
            <w:tcW w:w="1067" w:type="dxa"/>
            <w:vAlign w:val="center"/>
          </w:tcPr>
          <w:p w14:paraId="53FF8C70">
            <w:pPr>
              <w:spacing w:line="480" w:lineRule="atLeast"/>
            </w:pPr>
            <w:r>
              <w:rPr>
                <w:sz w:val="21"/>
                <w:szCs w:val="21"/>
              </w:rPr>
              <w:t>2</w:t>
            </w:r>
          </w:p>
        </w:tc>
        <w:tc>
          <w:tcPr>
            <w:tcW w:w="1067" w:type="dxa"/>
            <w:vAlign w:val="center"/>
          </w:tcPr>
          <w:p w14:paraId="7728868A">
            <w:pPr>
              <w:spacing w:line="480" w:lineRule="atLeast"/>
            </w:pPr>
            <w:r>
              <w:rPr>
                <w:sz w:val="21"/>
                <w:szCs w:val="21"/>
              </w:rPr>
              <w:t>2</w:t>
            </w:r>
          </w:p>
        </w:tc>
        <w:tc>
          <w:tcPr>
            <w:tcW w:w="1067" w:type="dxa"/>
            <w:vAlign w:val="center"/>
          </w:tcPr>
          <w:p w14:paraId="106C6A09">
            <w:pPr>
              <w:spacing w:line="480" w:lineRule="atLeast"/>
            </w:pPr>
            <w:r>
              <w:rPr>
                <w:sz w:val="21"/>
                <w:szCs w:val="21"/>
              </w:rPr>
              <w:t>4</w:t>
            </w:r>
          </w:p>
        </w:tc>
        <w:tc>
          <w:tcPr>
            <w:tcW w:w="560" w:type="dxa"/>
            <w:vAlign w:val="center"/>
          </w:tcPr>
          <w:p w14:paraId="66180FE4">
            <w:pPr>
              <w:spacing w:line="480" w:lineRule="atLeast"/>
            </w:pPr>
            <w:r>
              <w:rPr>
                <w:sz w:val="21"/>
                <w:szCs w:val="21"/>
              </w:rPr>
              <w:t>11</w:t>
            </w:r>
          </w:p>
        </w:tc>
      </w:tr>
      <w:tr w14:paraId="32719A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7E047080">
            <w:pPr>
              <w:spacing w:line="480" w:lineRule="atLeast"/>
              <w:jc w:val="center"/>
            </w:pPr>
            <w:r>
              <w:rPr>
                <w:sz w:val="21"/>
                <w:szCs w:val="21"/>
              </w:rPr>
              <w:t>国产低档基座（DeepSeek-V4-Flash）</w:t>
            </w:r>
          </w:p>
        </w:tc>
        <w:tc>
          <w:tcPr>
            <w:tcW w:w="853" w:type="dxa"/>
            <w:vAlign w:val="center"/>
          </w:tcPr>
          <w:p w14:paraId="52AF7AA2">
            <w:pPr>
              <w:spacing w:line="480" w:lineRule="atLeast"/>
            </w:pPr>
            <w:r>
              <w:rPr>
                <w:sz w:val="21"/>
                <w:szCs w:val="21"/>
              </w:rPr>
              <w:t>3</w:t>
            </w:r>
          </w:p>
        </w:tc>
        <w:tc>
          <w:tcPr>
            <w:tcW w:w="1067" w:type="dxa"/>
            <w:vAlign w:val="center"/>
          </w:tcPr>
          <w:p w14:paraId="4FEB46AC">
            <w:pPr>
              <w:spacing w:line="480" w:lineRule="atLeast"/>
            </w:pPr>
            <w:r>
              <w:rPr>
                <w:sz w:val="21"/>
                <w:szCs w:val="21"/>
              </w:rPr>
              <w:t>2</w:t>
            </w:r>
          </w:p>
        </w:tc>
        <w:tc>
          <w:tcPr>
            <w:tcW w:w="1067" w:type="dxa"/>
            <w:vAlign w:val="center"/>
          </w:tcPr>
          <w:p w14:paraId="32EF7DE1">
            <w:pPr>
              <w:spacing w:line="480" w:lineRule="atLeast"/>
            </w:pPr>
            <w:r>
              <w:rPr>
                <w:sz w:val="21"/>
                <w:szCs w:val="21"/>
              </w:rPr>
              <w:t>2</w:t>
            </w:r>
          </w:p>
        </w:tc>
        <w:tc>
          <w:tcPr>
            <w:tcW w:w="1067" w:type="dxa"/>
            <w:vAlign w:val="center"/>
          </w:tcPr>
          <w:p w14:paraId="34E08B0E">
            <w:pPr>
              <w:spacing w:line="480" w:lineRule="atLeast"/>
            </w:pPr>
            <w:r>
              <w:rPr>
                <w:sz w:val="21"/>
                <w:szCs w:val="21"/>
              </w:rPr>
              <w:t>3</w:t>
            </w:r>
          </w:p>
        </w:tc>
        <w:tc>
          <w:tcPr>
            <w:tcW w:w="560" w:type="dxa"/>
            <w:vAlign w:val="center"/>
          </w:tcPr>
          <w:p w14:paraId="241B2981">
            <w:pPr>
              <w:spacing w:line="480" w:lineRule="atLeast"/>
            </w:pPr>
            <w:r>
              <w:rPr>
                <w:sz w:val="21"/>
                <w:szCs w:val="21"/>
              </w:rPr>
              <w:t>10</w:t>
            </w:r>
          </w:p>
        </w:tc>
      </w:tr>
      <w:tr w14:paraId="628934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664" w:type="dxa"/>
            <w:vAlign w:val="center"/>
          </w:tcPr>
          <w:p w14:paraId="6E2FC383">
            <w:pPr>
              <w:spacing w:line="480" w:lineRule="atLeast"/>
              <w:jc w:val="center"/>
            </w:pPr>
            <w:r>
              <w:rPr>
                <w:sz w:val="21"/>
                <w:szCs w:val="21"/>
              </w:rPr>
              <w:t>国外高档基座（gpt-5.6-sol）</w:t>
            </w:r>
          </w:p>
        </w:tc>
        <w:tc>
          <w:tcPr>
            <w:tcW w:w="853" w:type="dxa"/>
            <w:vAlign w:val="center"/>
          </w:tcPr>
          <w:p w14:paraId="4C9ABD93">
            <w:pPr>
              <w:spacing w:line="480" w:lineRule="atLeast"/>
            </w:pPr>
            <w:r>
              <w:rPr>
                <w:sz w:val="21"/>
                <w:szCs w:val="21"/>
              </w:rPr>
              <w:t>2</w:t>
            </w:r>
          </w:p>
        </w:tc>
        <w:tc>
          <w:tcPr>
            <w:tcW w:w="1067" w:type="dxa"/>
            <w:vAlign w:val="center"/>
          </w:tcPr>
          <w:p w14:paraId="17A70AB0">
            <w:pPr>
              <w:spacing w:line="480" w:lineRule="atLeast"/>
            </w:pPr>
            <w:r>
              <w:rPr>
                <w:sz w:val="21"/>
                <w:szCs w:val="21"/>
              </w:rPr>
              <w:t>2</w:t>
            </w:r>
          </w:p>
        </w:tc>
        <w:tc>
          <w:tcPr>
            <w:tcW w:w="1067" w:type="dxa"/>
            <w:vAlign w:val="center"/>
          </w:tcPr>
          <w:p w14:paraId="58C1BA99">
            <w:pPr>
              <w:spacing w:line="480" w:lineRule="atLeast"/>
            </w:pPr>
            <w:r>
              <w:rPr>
                <w:sz w:val="21"/>
                <w:szCs w:val="21"/>
              </w:rPr>
              <w:t>4</w:t>
            </w:r>
          </w:p>
        </w:tc>
        <w:tc>
          <w:tcPr>
            <w:tcW w:w="1067" w:type="dxa"/>
            <w:vAlign w:val="center"/>
          </w:tcPr>
          <w:p w14:paraId="4D4B0FB8">
            <w:pPr>
              <w:spacing w:line="480" w:lineRule="atLeast"/>
            </w:pPr>
            <w:r>
              <w:rPr>
                <w:sz w:val="21"/>
                <w:szCs w:val="21"/>
              </w:rPr>
              <w:t>2</w:t>
            </w:r>
          </w:p>
        </w:tc>
        <w:tc>
          <w:tcPr>
            <w:tcW w:w="560" w:type="dxa"/>
            <w:vAlign w:val="center"/>
          </w:tcPr>
          <w:p w14:paraId="7F5A0F77">
            <w:pPr>
              <w:spacing w:line="480" w:lineRule="atLeast"/>
            </w:pPr>
            <w:r>
              <w:rPr>
                <w:sz w:val="21"/>
                <w:szCs w:val="21"/>
              </w:rPr>
              <w:t>10</w:t>
            </w:r>
          </w:p>
        </w:tc>
      </w:tr>
    </w:tbl>
    <w:p w14:paraId="05D4FE94">
      <w:pPr>
        <w:spacing w:line="480" w:lineRule="exact"/>
        <w:ind w:firstLine="560" w:firstLineChars="200"/>
      </w:pPr>
      <w:r>
        <w:t>消融结果给出三条总结论。</w:t>
      </w:r>
    </w:p>
    <w:p w14:paraId="21748F33">
      <w:pPr>
        <w:spacing w:line="480" w:lineRule="exact"/>
        <w:ind w:firstLine="560" w:firstLineChars="200"/>
      </w:pPr>
      <w:r>
        <w:t>（1）质量下限稳固，全量配置的优势在全维无短板。盲评下各配置论文得分均不低于 10，最强的两个消融配置（禁用文献检索、剥离机制调查引导）仅落后基线（15 分）1 分，差距只在严谨与自洽、呈现与表达两个维度各一点——文本质量不是配置间的分水岭。基线是唯一同时满足最高评分、终态通过审稿、三件交付物齐备、零无出处数值、零引文问题的配置：各消融配置可以在单点上追平甚至局部超过基线（禁用文献检索的离网格验证误差更低、剥离机制引导的留出验证更强、供给归零的科学原创性最高），但都携带结构性缺陷——全量配置的优势不是更高的质量上限，而是质量与交付收敛同时成立。</w:t>
      </w:r>
    </w:p>
    <w:p w14:paraId="3A195CF3">
      <w:pPr>
        <w:spacing w:line="480" w:lineRule="exact"/>
        <w:ind w:firstLine="560" w:firstLineChars="200"/>
      </w:pPr>
      <w:r>
        <w:t>（2）每个模块的消融呈现各有侧重的维度特征。审稿门剥离→D2 与 D3 双降（验证误差放大 2.3 倍照原样交付；图文矛盾、无出处数值、占位文献进终稿）；文献断供→引用纪律受损（出现未检索验证的引文），数值纪律与科学内容不受影响；知识供给→D3 梯度响应（盲知识库 2、归零 1，记录-表述一致性逐级崩解）；机制引导→无行为退化（防线冗余）；基座模型→国产低档与国外两个模型相对基线的差距集中在 D1/D2（实质与验证）。需要说明归因的边界：每个配置只在单次运行下观察（n=1），且 D2、D3 类维度会同时受多个因素影响（如供给归零同时改变两种知识载体），上述特征归纳是个案对照下的观察，不是模块间的独立因果结论。</w:t>
      </w:r>
    </w:p>
    <w:p w14:paraId="39E9CC56">
      <w:pPr>
        <w:spacing w:line="480" w:lineRule="exact"/>
        <w:ind w:firstLine="560" w:firstLineChars="200"/>
      </w:pPr>
      <w:r>
        <w:t>（3）科学创造力与交付纪律可分离。供给归零配置的 D1 位列最高档（与四个配置并列），发现形式也最为紧致（无参数解析随板运动律、床层脱离带的精确化），D3 却是八个配置最低——领域知识断供不妨碍做物理，妨碍的是写规范。三个两轮驳回配置的失败原因高度一致地落在记录-表述一致性（计数对账、数值留痕、图文相符），而非科学内容被否定；独立盲评复现了内部审稿门对这类缺陷的判断，并额外捕获了内部门漏掉的问题（盲知识库的模糊点计数未披露、关闭审稿门的图文矛盾）——两套评审体系相互印证且互补。这定位了自主科研系统当前的真实短板：研究可信，交付规范——也正是审稿门与行为报告机制存在的原因。</w:t>
      </w:r>
    </w:p>
    <w:p w14:paraId="234260B5">
      <w:pPr>
        <w:pStyle w:val="2"/>
      </w:pPr>
      <w:bookmarkStart w:id="39" w:name="_Toc19302"/>
      <w:r>
        <w:t>6. 平台原型验证与生态贡献</w:t>
      </w:r>
      <w:bookmarkEnd w:id="39"/>
    </w:p>
    <w:p w14:paraId="1A3684A7">
      <w:pPr>
        <w:spacing w:line="480" w:lineRule="exact"/>
        <w:ind w:firstLine="560" w:firstLineChars="200"/>
      </w:pPr>
      <w:r>
        <w:t>本章回到磐石·科研智能平台，说明系统的平台生态贡献：三个可复用的 MCP 工具服务，以及工具链在平台工作流形态下的端到端原型验证。</w:t>
      </w:r>
    </w:p>
    <w:p w14:paraId="1CC71007">
      <w:pPr>
        <w:pStyle w:val="3"/>
      </w:pPr>
      <w:bookmarkStart w:id="40" w:name="_Toc30544"/>
      <w:r>
        <w:t>6.1 可复用的 MCP 工具服务</w:t>
      </w:r>
      <w:bookmarkEnd w:id="40"/>
    </w:p>
    <w:p w14:paraId="23818217">
      <w:pPr>
        <w:spacing w:line="480" w:lineRule="exact"/>
        <w:ind w:firstLine="560" w:firstLineChars="200"/>
      </w:pPr>
      <w:r>
        <w:t>离散元批量仿真与数据驱动量纲分析两个服务以外部接入 MCP 服务的形式注册于磐石平台（均"已就绪"、各暴露 7 个工具、版本 v1.0），并与 DDDA 方法论技能、项目技术文档技能及智能体一并提交比赛专区作为参赛资源；平台用户在平台权限规则下即可在其智能体与工作流中调用，资源清单与平台标识见表 6.1。文献检索服务在智能体系统内以 MCP 形式运行（经局域网接入，2.2 节），本版未含其平台注册。其中 DDDA 服务完成了方法论从 MATLAB 到纯 Python 的工程化移植，方法细节与文献</w:t>
      </w:r>
      <w:r>
        <w:rPr>
          <w:sz w:val="18"/>
          <w:szCs w:val="18"/>
          <w:vertAlign w:val="superscript"/>
        </w:rPr>
        <w:t>[12]</w:t>
      </w:r>
      <w:r>
        <w:t>逐条对齐，并以已知解检验验证了实现的基本正确性：向服务输入人工构造的幂律数据（指数真值 0.8/0.5/0.0），服务恢复指数 0.799/0.501/0.000，在所报误差范围内近似恢复真值（综合误差 1.67%）——服务输出由数据决定而非预置，这是工具可信性的基本检验；一个合成幂律算例支持基本正确性，对含噪、多子域等复杂数据的完整等价性由 5.3 节在同一份 516 点数据上的对照进一步支撑。</w:t>
      </w:r>
    </w:p>
    <w:p w14:paraId="12D28CFA">
      <w:pPr>
        <w:pStyle w:val="11"/>
        <w:keepNext/>
        <w:jc w:val="center"/>
      </w:pPr>
      <w:r>
        <w:t>表 6.1 磐石平台注册与参赛提交资源清单（提交人个人空间，截至 2026 年 9 月 7 日；均为"个人创建"资源，两个 MCP 服务运行于 3.1 节所述自建计算服务器，复现入口见附录A）</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60"/>
        <w:gridCol w:w="1520"/>
        <w:gridCol w:w="2038"/>
        <w:gridCol w:w="2660"/>
      </w:tblGrid>
      <w:tr w14:paraId="2C6F25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060" w:type="dxa"/>
            <w:tcBorders>
              <w:bottom w:val="single" w:color="auto" w:sz="4" w:space="0"/>
            </w:tcBorders>
            <w:vAlign w:val="center"/>
          </w:tcPr>
          <w:p w14:paraId="4D56F4B0">
            <w:pPr>
              <w:spacing w:line="480" w:lineRule="atLeast"/>
              <w:jc w:val="center"/>
            </w:pPr>
            <w:r>
              <w:rPr>
                <w:b/>
                <w:sz w:val="21"/>
                <w:szCs w:val="21"/>
              </w:rPr>
              <w:t>资源</w:t>
            </w:r>
          </w:p>
        </w:tc>
        <w:tc>
          <w:tcPr>
            <w:tcW w:w="1520" w:type="dxa"/>
            <w:tcBorders>
              <w:bottom w:val="single" w:color="auto" w:sz="4" w:space="0"/>
            </w:tcBorders>
            <w:vAlign w:val="center"/>
          </w:tcPr>
          <w:p w14:paraId="686C2B2A">
            <w:pPr>
              <w:spacing w:line="480" w:lineRule="atLeast"/>
              <w:jc w:val="center"/>
            </w:pPr>
            <w:r>
              <w:rPr>
                <w:b/>
                <w:sz w:val="21"/>
                <w:szCs w:val="21"/>
              </w:rPr>
              <w:t>类型</w:t>
            </w:r>
          </w:p>
        </w:tc>
        <w:tc>
          <w:tcPr>
            <w:tcW w:w="2038" w:type="dxa"/>
            <w:tcBorders>
              <w:bottom w:val="single" w:color="auto" w:sz="4" w:space="0"/>
            </w:tcBorders>
            <w:vAlign w:val="center"/>
          </w:tcPr>
          <w:p w14:paraId="33C3E8BA">
            <w:pPr>
              <w:spacing w:line="480" w:lineRule="atLeast"/>
              <w:jc w:val="center"/>
            </w:pPr>
            <w:r>
              <w:rPr>
                <w:b/>
                <w:sz w:val="21"/>
                <w:szCs w:val="21"/>
              </w:rPr>
              <w:t>平台标识</w:t>
            </w:r>
          </w:p>
        </w:tc>
        <w:tc>
          <w:tcPr>
            <w:tcW w:w="2660" w:type="dxa"/>
            <w:tcBorders>
              <w:bottom w:val="single" w:color="auto" w:sz="4" w:space="0"/>
            </w:tcBorders>
            <w:vAlign w:val="center"/>
          </w:tcPr>
          <w:p w14:paraId="50486DE2">
            <w:pPr>
              <w:spacing w:line="480" w:lineRule="atLeast"/>
              <w:jc w:val="center"/>
            </w:pPr>
            <w:r>
              <w:rPr>
                <w:b/>
                <w:sz w:val="21"/>
                <w:szCs w:val="21"/>
              </w:rPr>
              <w:t>版本与状态</w:t>
            </w:r>
          </w:p>
        </w:tc>
      </w:tr>
      <w:tr w14:paraId="5856D8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60" w:type="dxa"/>
            <w:tcBorders>
              <w:top w:val="single" w:color="auto" w:sz="4" w:space="0"/>
            </w:tcBorders>
            <w:vAlign w:val="center"/>
          </w:tcPr>
          <w:p w14:paraId="570F6CC6">
            <w:pPr>
              <w:spacing w:line="480" w:lineRule="atLeast"/>
              <w:jc w:val="center"/>
            </w:pPr>
            <w:r>
              <w:rPr>
                <w:sz w:val="21"/>
                <w:szCs w:val="21"/>
              </w:rPr>
              <w:t>LIGGGHTS颗粒仿真-直连</w:t>
            </w:r>
          </w:p>
        </w:tc>
        <w:tc>
          <w:tcPr>
            <w:tcW w:w="1520" w:type="dxa"/>
            <w:tcBorders>
              <w:top w:val="single" w:color="auto" w:sz="4" w:space="0"/>
            </w:tcBorders>
            <w:vAlign w:val="center"/>
          </w:tcPr>
          <w:p w14:paraId="706F7E6C">
            <w:pPr>
              <w:spacing w:line="480" w:lineRule="atLeast"/>
            </w:pPr>
            <w:r>
              <w:rPr>
                <w:sz w:val="21"/>
                <w:szCs w:val="21"/>
              </w:rPr>
              <w:t>MCP 服务（外部接入）</w:t>
            </w:r>
          </w:p>
        </w:tc>
        <w:tc>
          <w:tcPr>
            <w:tcW w:w="2038" w:type="dxa"/>
            <w:tcBorders>
              <w:top w:val="single" w:color="auto" w:sz="4" w:space="0"/>
            </w:tcBorders>
            <w:vAlign w:val="center"/>
          </w:tcPr>
          <w:p w14:paraId="5A6ACCA3">
            <w:pPr>
              <w:spacing w:line="480" w:lineRule="atLeast"/>
            </w:pPr>
            <w:r>
              <w:rPr>
                <w:sz w:val="21"/>
                <w:szCs w:val="21"/>
              </w:rPr>
              <w:t>8a858ff9c04cd3fa7a91469ad09870aa</w:t>
            </w:r>
          </w:p>
        </w:tc>
        <w:tc>
          <w:tcPr>
            <w:tcW w:w="2660" w:type="dxa"/>
            <w:tcBorders>
              <w:top w:val="single" w:color="auto" w:sz="4" w:space="0"/>
            </w:tcBorders>
            <w:vAlign w:val="center"/>
          </w:tcPr>
          <w:p w14:paraId="2F18B2C1">
            <w:pPr>
              <w:spacing w:line="480" w:lineRule="atLeast"/>
            </w:pPr>
            <w:r>
              <w:rPr>
                <w:sz w:val="21"/>
                <w:szCs w:val="21"/>
              </w:rPr>
              <w:t>v1.0，已就绪（7 个工具），已</w:t>
            </w:r>
            <w:bookmarkStart w:id="61" w:name="_GoBack"/>
            <w:bookmarkEnd w:id="61"/>
            <w:r>
              <w:rPr>
                <w:sz w:val="21"/>
                <w:szCs w:val="21"/>
              </w:rPr>
              <w:t>提交</w:t>
            </w:r>
          </w:p>
        </w:tc>
      </w:tr>
      <w:tr w14:paraId="0E8AA2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60" w:type="dxa"/>
            <w:vAlign w:val="center"/>
          </w:tcPr>
          <w:p w14:paraId="4294749C">
            <w:pPr>
              <w:spacing w:line="480" w:lineRule="atLeast"/>
              <w:jc w:val="center"/>
            </w:pPr>
            <w:r>
              <w:rPr>
                <w:sz w:val="21"/>
                <w:szCs w:val="21"/>
              </w:rPr>
              <w:t>DDDA量纲分析-直连</w:t>
            </w:r>
          </w:p>
        </w:tc>
        <w:tc>
          <w:tcPr>
            <w:tcW w:w="1520" w:type="dxa"/>
            <w:vAlign w:val="center"/>
          </w:tcPr>
          <w:p w14:paraId="25AF144B">
            <w:pPr>
              <w:spacing w:line="480" w:lineRule="atLeast"/>
            </w:pPr>
            <w:r>
              <w:rPr>
                <w:sz w:val="21"/>
                <w:szCs w:val="21"/>
              </w:rPr>
              <w:t>MCP 服务（外部接入）</w:t>
            </w:r>
          </w:p>
        </w:tc>
        <w:tc>
          <w:tcPr>
            <w:tcW w:w="2038" w:type="dxa"/>
            <w:vAlign w:val="center"/>
          </w:tcPr>
          <w:p w14:paraId="0C7EFC67">
            <w:pPr>
              <w:spacing w:line="480" w:lineRule="atLeast"/>
            </w:pPr>
            <w:r>
              <w:rPr>
                <w:sz w:val="21"/>
                <w:szCs w:val="21"/>
              </w:rPr>
              <w:t>cab6d135453d4660b6835277f500ec99</w:t>
            </w:r>
          </w:p>
        </w:tc>
        <w:tc>
          <w:tcPr>
            <w:tcW w:w="2660" w:type="dxa"/>
            <w:vAlign w:val="center"/>
          </w:tcPr>
          <w:p w14:paraId="594ADEFF">
            <w:pPr>
              <w:spacing w:line="480" w:lineRule="atLeast"/>
            </w:pPr>
            <w:r>
              <w:rPr>
                <w:sz w:val="21"/>
                <w:szCs w:val="21"/>
              </w:rPr>
              <w:t>v1.0，已就绪（7 个工具），已提交</w:t>
            </w:r>
          </w:p>
        </w:tc>
      </w:tr>
      <w:tr w14:paraId="3E6D5C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60" w:type="dxa"/>
            <w:vAlign w:val="center"/>
          </w:tcPr>
          <w:p w14:paraId="751D5C34">
            <w:pPr>
              <w:spacing w:line="480" w:lineRule="atLeast"/>
              <w:jc w:val="center"/>
            </w:pPr>
            <w:r>
              <w:rPr>
                <w:sz w:val="21"/>
                <w:szCs w:val="21"/>
              </w:rPr>
              <w:t>GranuSci自适应研究智能体（竞赛原型）</w:t>
            </w:r>
          </w:p>
        </w:tc>
        <w:tc>
          <w:tcPr>
            <w:tcW w:w="1520" w:type="dxa"/>
            <w:vAlign w:val="center"/>
          </w:tcPr>
          <w:p w14:paraId="7A2A4443">
            <w:pPr>
              <w:spacing w:line="480" w:lineRule="atLeast"/>
            </w:pPr>
            <w:r>
              <w:rPr>
                <w:sz w:val="21"/>
                <w:szCs w:val="21"/>
              </w:rPr>
              <w:t>智能体 / 应用原型（工作流）</w:t>
            </w:r>
          </w:p>
        </w:tc>
        <w:tc>
          <w:tcPr>
            <w:tcW w:w="2038" w:type="dxa"/>
            <w:vAlign w:val="center"/>
          </w:tcPr>
          <w:p w14:paraId="12DB602B">
            <w:pPr>
              <w:spacing w:line="480" w:lineRule="atLeast"/>
            </w:pPr>
            <w:r>
              <w:rPr>
                <w:sz w:val="21"/>
                <w:szCs w:val="21"/>
              </w:rPr>
              <w:t>工作流 261（智能体 1150）</w:t>
            </w:r>
          </w:p>
        </w:tc>
        <w:tc>
          <w:tcPr>
            <w:tcW w:w="2660" w:type="dxa"/>
            <w:vAlign w:val="center"/>
          </w:tcPr>
          <w:p w14:paraId="2EFF450D">
            <w:pPr>
              <w:spacing w:line="480" w:lineRule="atLeast"/>
            </w:pPr>
            <w:r>
              <w:rPr>
                <w:sz w:val="21"/>
                <w:szCs w:val="21"/>
              </w:rPr>
              <w:t>v1.0，已提交；画布 29 节点、31 条连线，端到端运行见 6.2 节</w:t>
            </w:r>
          </w:p>
        </w:tc>
      </w:tr>
      <w:tr w14:paraId="0311A9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60" w:type="dxa"/>
            <w:vAlign w:val="center"/>
          </w:tcPr>
          <w:p w14:paraId="41279076">
            <w:pPr>
              <w:spacing w:line="480" w:lineRule="atLeast"/>
              <w:jc w:val="center"/>
            </w:pPr>
            <w:r>
              <w:rPr>
                <w:sz w:val="21"/>
                <w:szCs w:val="21"/>
              </w:rPr>
              <w:t>skill-ddda-methodology</w:t>
            </w:r>
          </w:p>
        </w:tc>
        <w:tc>
          <w:tcPr>
            <w:tcW w:w="1520" w:type="dxa"/>
            <w:vAlign w:val="center"/>
          </w:tcPr>
          <w:p w14:paraId="04FC05C5">
            <w:pPr>
              <w:spacing w:line="480" w:lineRule="atLeast"/>
            </w:pPr>
            <w:r>
              <w:rPr>
                <w:sz w:val="21"/>
                <w:szCs w:val="21"/>
              </w:rPr>
              <w:t>Skill</w:t>
            </w:r>
          </w:p>
        </w:tc>
        <w:tc>
          <w:tcPr>
            <w:tcW w:w="2038" w:type="dxa"/>
            <w:vAlign w:val="center"/>
          </w:tcPr>
          <w:p w14:paraId="59231963">
            <w:pPr>
              <w:spacing w:line="480" w:lineRule="atLeast"/>
            </w:pPr>
            <w:r>
              <w:rPr>
                <w:sz w:val="21"/>
                <w:szCs w:val="21"/>
              </w:rPr>
              <w:t>见平台提交记录</w:t>
            </w:r>
          </w:p>
        </w:tc>
        <w:tc>
          <w:tcPr>
            <w:tcW w:w="2660" w:type="dxa"/>
            <w:vAlign w:val="center"/>
          </w:tcPr>
          <w:p w14:paraId="3842EC46">
            <w:pPr>
              <w:spacing w:line="480" w:lineRule="atLeast"/>
            </w:pPr>
            <w:r>
              <w:rPr>
                <w:sz w:val="21"/>
                <w:szCs w:val="21"/>
              </w:rPr>
              <w:t>v1，已提交（DDDA 方法论指导：实验设计、分区解读、标度律评价）</w:t>
            </w:r>
          </w:p>
        </w:tc>
      </w:tr>
      <w:tr w14:paraId="4DBD46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60" w:type="dxa"/>
            <w:vAlign w:val="center"/>
          </w:tcPr>
          <w:p w14:paraId="537388E1">
            <w:pPr>
              <w:spacing w:line="480" w:lineRule="atLeast"/>
              <w:jc w:val="center"/>
            </w:pPr>
            <w:r>
              <w:rPr>
                <w:sz w:val="21"/>
                <w:szCs w:val="21"/>
              </w:rPr>
              <w:t>granusci</w:t>
            </w:r>
          </w:p>
        </w:tc>
        <w:tc>
          <w:tcPr>
            <w:tcW w:w="1520" w:type="dxa"/>
            <w:vAlign w:val="center"/>
          </w:tcPr>
          <w:p w14:paraId="2D6B4BC1">
            <w:pPr>
              <w:spacing w:line="480" w:lineRule="atLeast"/>
            </w:pPr>
            <w:r>
              <w:rPr>
                <w:sz w:val="21"/>
                <w:szCs w:val="21"/>
              </w:rPr>
              <w:t>Skill</w:t>
            </w:r>
          </w:p>
        </w:tc>
        <w:tc>
          <w:tcPr>
            <w:tcW w:w="2038" w:type="dxa"/>
            <w:vAlign w:val="center"/>
          </w:tcPr>
          <w:p w14:paraId="2ACAF8CD">
            <w:pPr>
              <w:spacing w:line="480" w:lineRule="atLeast"/>
            </w:pPr>
            <w:r>
              <w:rPr>
                <w:sz w:val="21"/>
                <w:szCs w:val="21"/>
              </w:rPr>
              <w:t>见平台提交记录</w:t>
            </w:r>
          </w:p>
        </w:tc>
        <w:tc>
          <w:tcPr>
            <w:tcW w:w="2660" w:type="dxa"/>
            <w:vAlign w:val="center"/>
          </w:tcPr>
          <w:p w14:paraId="759C8494">
            <w:pPr>
              <w:spacing w:line="480" w:lineRule="atLeast"/>
            </w:pPr>
            <w:r>
              <w:rPr>
                <w:sz w:val="21"/>
                <w:szCs w:val="21"/>
              </w:rPr>
              <w:t>v1，已提交（项目技术文档）</w:t>
            </w:r>
          </w:p>
        </w:tc>
      </w:tr>
    </w:tbl>
    <w:p w14:paraId="28562A7E">
      <w:pPr>
        <w:pStyle w:val="3"/>
      </w:pPr>
      <w:bookmarkStart w:id="41" w:name="_Toc15349"/>
      <w:r>
        <w:t>6.2 平台工作流上的端到端原型</w:t>
      </w:r>
      <w:bookmarkEnd w:id="41"/>
    </w:p>
    <w:p w14:paraId="66735E07">
      <w:pPr>
        <w:spacing w:line="480" w:lineRule="exact"/>
        <w:ind w:firstLine="560" w:firstLineChars="200"/>
      </w:pPr>
      <w:r>
        <w:t>在智能体形态之外，离散元仿真与规律发现两个工具服务连同大模型节点曾以固定工作流形态组成应用原型（"GranuSci自适应研究智能体（竞赛原型）"，29 节点、31 条连线）：π 定理自动推导（Buckingham π 定理</w:t>
      </w:r>
      <w:r>
        <w:rPr>
          <w:sz w:val="18"/>
          <w:szCs w:val="18"/>
          <w:vertAlign w:val="superscript"/>
        </w:rPr>
        <w:t>[32]</w:t>
      </w:r>
      <w:r>
        <w:t>：物理关系总可表为少数无量纲组合之间的关系，工具由参数清单自动导出这些组合）、双层防护的实验设计、批量仿真、双响应量并行 DDDA、确定性证据包提取与科研判断驱动的边界加密回路、七段式报告生成。该原型在平台上完成端到端验证：一次 48 工况的完整运行（设计→仿真 48/48 成功→双响应量分析→自适应加密触发→合并 90 点三子域→δ*=8.9%→5700 字全真数字报告）耗时 96 秒；更早的解限验证运行中，工作流自主完成 120 工况主网格加 48 工况加密、168 点合并与多子域分析。原型验证了三件事：工具服务在平台生态中的可接入性、工具链（设计→仿真→分析→加密回路）的端到端正确性、以及响应量与分区机制在无智能体介入时的基线能力。原型与智能体共用同一套工具服务，差别仅在编排形态：原型的 96 秒端到端运行与智能体 3.92 小时的自主研究构成"固定编排 vs 自主循环"的对照，原型暴露的能力边界（6.3 节）正是智能体架构的设计出发点。</w:t>
      </w:r>
    </w:p>
    <w:p w14:paraId="5CB96991">
      <w:pPr>
        <w:pStyle w:val="3"/>
      </w:pPr>
      <w:bookmarkStart w:id="42" w:name="_Toc16779"/>
      <w:r>
        <w:t>6.3 从工作流到智能体</w:t>
      </w:r>
      <w:bookmarkEnd w:id="42"/>
    </w:p>
    <w:p w14:paraId="4251DCAC">
      <w:pPr>
        <w:spacing w:line="480" w:lineRule="exact"/>
        <w:ind w:firstLine="560" w:firstLineChars="200"/>
      </w:pPr>
      <w:r>
        <w:t>工作流原型同时暴露了固定编排的能力边界：加密方向的选择依赖对模糊点分布的解读，机制调查需要按现象决定取哪个工况的快照、看什么诊断量，审稿修复需要判断问题是数据缺失还是表述不当——这些决策点要么被预先固定为规则（丧失科学判断），要么无法表达。正是这一边界促成了第 2 章智能体架构的演进：把决策交还给模型、以账本与审稿门约束行为。工作流原型因此在本项目的证据链中承担明确角色——工具层的平台侧验证与智能体形态的对照基线。</w:t>
      </w:r>
    </w:p>
    <w:p w14:paraId="136DD20B">
      <w:pPr>
        <w:keepNext/>
        <w:spacing w:line="240" w:lineRule="auto"/>
        <w:jc w:val="center"/>
      </w:pPr>
      <w:r>
        <w:drawing>
          <wp:inline distT="0" distB="0" distL="114300" distR="114300">
            <wp:extent cx="5212080" cy="2751455"/>
            <wp:effectExtent l="0" t="0" r="762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12080" cy="2751480"/>
                    </a:xfrm>
                    <a:prstGeom prst="rect">
                      <a:avLst/>
                    </a:prstGeom>
                  </pic:spPr>
                </pic:pic>
              </a:graphicData>
            </a:graphic>
          </wp:inline>
        </w:drawing>
      </w:r>
    </w:p>
    <w:p w14:paraId="01801EE0">
      <w:pPr>
        <w:pStyle w:val="11"/>
        <w:jc w:val="center"/>
      </w:pPr>
      <w:r>
        <w:t>图 6.1　竞赛原型在磐石平台上的工作流画布：29 个节点、31 条连接，右侧为一次真实执行的调试面板（研究意图、π 定理推导与参数体系）</w:t>
      </w:r>
    </w:p>
    <w:p w14:paraId="4DB9B129">
      <w:pPr>
        <w:pStyle w:val="2"/>
      </w:pPr>
      <w:bookmarkStart w:id="43" w:name="_Toc28712"/>
      <w:r>
        <w:t>7. 讨论与局限</w:t>
      </w:r>
      <w:bookmarkEnd w:id="43"/>
    </w:p>
    <w:p w14:paraId="1C56E526">
      <w:pPr>
        <w:pStyle w:val="3"/>
      </w:pPr>
      <w:bookmarkStart w:id="44" w:name="_Toc14436"/>
      <w:r>
        <w:t>7.1 与问答型、代码生成型智能体的区别</w:t>
      </w:r>
      <w:bookmarkEnd w:id="44"/>
    </w:p>
    <w:p w14:paraId="458D2820">
      <w:pPr>
        <w:spacing w:line="480" w:lineRule="exact"/>
        <w:ind w:firstLine="560" w:firstLineChars="200"/>
      </w:pPr>
      <w:r>
        <w:t>GranuSci 与通用问答型智能体的本质区别在于产出的性质：问答型智能体输出关于世界的陈述，其质量上限是知识的准确复述；本系统的输出是一份包含新数据、新规律与新机制解释的研究成果，其质量下限由真实计算强制托底。与代码生成型智能体的区别在于责任边界：代码生成型智能体产出待人执行的脚本，计算责任仍在人；本系统自行编排执行数十次批量计算并管理全部中间产物，计算责任转移到系统——因此需要账本、数值审计与审稿门这类普通智能体不需要的机制。与近年出现的自主科研系统</w:t>
      </w:r>
      <w:r>
        <w:rPr>
          <w:sz w:val="18"/>
          <w:szCs w:val="18"/>
          <w:vertAlign w:val="superscript"/>
        </w:rPr>
        <w:t>[22,24]</w:t>
      </w:r>
      <w:r>
        <w:t>相比，本系统的特点是把验证场景放在了重型仿真问题上：单次研究 500+ 工况、小时级墙钟、跨仿真—分析—观测三类工具，长程编排与上下文管理的难度显著高于轻量计算场景。</w:t>
      </w:r>
    </w:p>
    <w:p w14:paraId="1914A4A6">
      <w:pPr>
        <w:pStyle w:val="3"/>
      </w:pPr>
      <w:bookmarkStart w:id="45" w:name="_Toc27878"/>
      <w:r>
        <w:t>7.2 当前系统的局限</w:t>
      </w:r>
      <w:bookmarkEnd w:id="45"/>
    </w:p>
    <w:p w14:paraId="20A517DA">
      <w:pPr>
        <w:spacing w:line="480" w:lineRule="exact"/>
        <w:ind w:firstLine="560" w:firstLineChars="200"/>
      </w:pPr>
      <w:r>
        <w:t xml:space="preserve">本系统的局限按影响范围列出。（1）仿真方案：默认快速方案以统计精度换时间，动能 </w:t>
      </w:r>
      <m:oMath>
        <m:sSup>
          <m:sSupPr/>
          <m:e>
            <m:r>
              <m:rPr/>
              <w:rPr>
                <w:sz w:val="24"/>
                <w:szCs w:val="24"/>
              </w:rPr>
              <m:t>δ</m:t>
            </m:r>
          </m:e>
          <m:sup>
            <m:r>
              <m:rPr/>
              <w:rPr>
                <w:sz w:val="24"/>
                <w:szCs w:val="24"/>
              </w:rPr>
              <m:t>∗</m:t>
            </m:r>
          </m:sup>
        </m:sSup>
      </m:oMath>
      <w:r>
        <w:t xml:space="preserve"> 高于人工基准方案结果；基准方案切换已支持但未在验证任务中使用。（2）材料与几何：单一干颗粒体系、固定材料参数（恢复系数等不可调）、准二维槽——标度律不外推三维。（3）判据验证的口径：相态的独立"真值"只有快照视觉判读与时均场诊断（无实验对照），机制结论维持一致性级别措辞，缺耗散预算的直接封闭。（4）知识库依赖：验证任务的知识库含验证文献全文，结果定位为管线正确性验证（1.4 节）；盲知识库条件（5.4 节）补充自主性证据，但参数空间仍由人工给定，这构成系统的边界——科学问题的自主提出不在本版本范围内。（5）消融的单次性：每个消融配置运行一次，结论以个案对照呈现，未做多 seed 方差估计。（6）成本结构：主循环 token 消耗依赖前缀缓存（93.5% 命中），缓存失效场景（服务重启、超时）的成本会显著上升。</w:t>
      </w:r>
    </w:p>
    <w:p w14:paraId="554FDCAC">
      <w:pPr>
        <w:pStyle w:val="3"/>
      </w:pPr>
      <w:bookmarkStart w:id="46" w:name="_Toc19311"/>
      <w:r>
        <w:t>7.3 展望</w:t>
      </w:r>
      <w:bookmarkEnd w:id="46"/>
    </w:p>
    <w:p w14:paraId="30CB6D80">
      <w:pPr>
        <w:spacing w:line="480" w:lineRule="exact"/>
        <w:ind w:firstLine="560" w:firstLineChars="200"/>
      </w:pPr>
      <w:r>
        <w:t>后续工作沿三个方向展开。其一，精度与范围：基准方案的一键切换、材料参数接口（恢复系数/摩擦系数扫描的工具缺口已在运行中识别并记录）、向浸没体系与 CFD-DEM 耦合场景扩展。其二，自主性升级：从文献中系统挖掘已发表研究的 Limitations 与 Future Work 构建结构化缺口池，智能体从缺口池自主选题、排队执行、结论回流——即"大规模文献驱动的自主研究引擎"形态；科学问题的自主提出是其中的关键一步。其三，平台生态：工具服务的社区复用、多智能体并行研究的调度与汇总。</w:t>
      </w:r>
    </w:p>
    <w:p w14:paraId="413E5C7B">
      <w:pPr>
        <w:pStyle w:val="2"/>
      </w:pPr>
      <w:bookmarkStart w:id="47" w:name="_Toc4243"/>
    </w:p>
    <w:p w14:paraId="64513B91">
      <w:pPr>
        <w:pStyle w:val="2"/>
      </w:pPr>
      <w:r>
        <w:t>8. 结论</w:t>
      </w:r>
      <w:bookmarkEnd w:id="47"/>
    </w:p>
    <w:p w14:paraId="525232A6">
      <w:pPr>
        <w:spacing w:line="480" w:lineRule="exact"/>
        <w:ind w:firstLine="560" w:firstLineChars="200"/>
      </w:pPr>
      <w:r>
        <w:t>本项目构建了面向分区标度律问题的闭环自主科研智能体 GranuSci 并完成系统验证。系统以"语义层—计算层"分离为架构原则：大语言模型在带护栏的自主循环中承担研究决策与学术表达，离散元仿真与数据驱动量纲分析两个 MCP 服务承担仿真与规律拟合两项核心数值任务，派生计算由全程留痕的本地工具执行，知识经检索供给，产出经数值审计、视觉审计与异源评审三层审稿门把关。在竖直振动颗粒床能量标度任务上，智能体以 516 个唯一参数工况自主完成从研究意图到通过审稿的论文、幻灯片与行为报告的完整链条（3.92 小时、无人工干预、数值全溯源），发现动能两子域标度结构、势能无法用统一简单律描述的结构与能量分配比的阶梯结构，并以三证据源交叉给出能量注入机制的解读，第一轮冻结模型的六点域内离网格留出验证 MAPE=16.5%。消融实验量化了分区拟合、文献供给、审稿门与基座模型各模块的贡献（每配置单次运行的个案对照口径）；负结果案例表明审稿门确实拦截了真实的数值编造与计数矛盾。消融还给出一个值得同类系统注意的观察：知识供给归零（移除目标文献并禁用在线检索，模型预训练知识与方法技能仍在）的配置仍能做出形式紧致的解析发现、科学实质维度位列最高档，</w:t>
      </w:r>
      <w:r>
        <w:rPr>
          <w:rFonts w:hint="eastAsia"/>
          <w:lang w:val="en-US" w:eastAsia="zh-CN"/>
        </w:rPr>
        <w:t>但在结论的物理解释以及论文撰写</w:t>
      </w:r>
      <w:r>
        <w:t>规范</w:t>
      </w:r>
      <w:r>
        <w:rPr>
          <w:rFonts w:hint="eastAsia"/>
          <w:lang w:val="en-US" w:eastAsia="zh-CN"/>
        </w:rPr>
        <w:t>性方面存在显著欠缺</w:t>
      </w:r>
      <w:r>
        <w:t>。两个计算工具服务、方法论技能与应用原型注册于磐石平台并作为参赛资源提交（表 6.1），可供平台用户在权限规则下复用。结果表明，在"模型理解与表达、工具计算与求证、审稿门守底"的分工下，面向重型仿真问题的自主科研闭环是可运行、可查证、可评估的。</w:t>
      </w:r>
    </w:p>
    <w:p w14:paraId="0FCFAB82">
      <w:pPr>
        <w:pStyle w:val="2"/>
        <w:sectPr>
          <w:pgSz w:w="11906" w:h="16838"/>
          <w:pgMar w:top="1440" w:right="1800" w:bottom="1440" w:left="1800" w:header="851" w:footer="992" w:gutter="0"/>
          <w:pgNumType w:start="1"/>
          <w:cols w:space="425" w:num="1"/>
          <w:docGrid w:type="lines" w:linePitch="312" w:charSpace="0"/>
        </w:sectPr>
      </w:pPr>
      <w:bookmarkStart w:id="48" w:name="_Toc24606"/>
    </w:p>
    <w:p w14:paraId="58EFC16E">
      <w:pPr>
        <w:pStyle w:val="2"/>
      </w:pPr>
      <w:r>
        <w:t>附录A 复现指引</w:t>
      </w:r>
      <w:bookmarkEnd w:id="48"/>
    </w:p>
    <w:p w14:paraId="23D84EEC">
      <w:pPr>
        <w:spacing w:line="480" w:lineRule="exact"/>
        <w:ind w:firstLine="560" w:firstLineChars="200"/>
      </w:pPr>
      <w:r>
        <w:t>环境：Python 3.13；依赖见项目仓库 `granusci/`（LangGraph 状态图主循环、MCP 客户端、向量知识库、论文工具链）；计算服务器需部署离散元仿真与 DDDA 两个 MCP 服务（源码 `DDDA-MCP/`、`granular-dem-mcp/`，部署说明见各目录 README）。</w:t>
      </w:r>
    </w:p>
    <w:p w14:paraId="62F6045D">
      <w:pPr>
        <w:spacing w:after="0" w:line="240" w:lineRule="auto"/>
        <w:ind w:firstLine="360" w:firstLineChars="200"/>
      </w:pPr>
      <w:r>
        <w:rPr>
          <w:rFonts w:ascii="Consolas" w:hAnsi="Consolas" w:eastAsia="等线"/>
          <w:sz w:val="18"/>
        </w:rPr>
        <w:t># 构建知识库</w:t>
      </w:r>
    </w:p>
    <w:p w14:paraId="0E781F1D">
      <w:pPr>
        <w:spacing w:after="0" w:line="240" w:lineRule="auto"/>
        <w:ind w:firstLine="360" w:firstLineChars="200"/>
      </w:pPr>
      <w:r>
        <w:rPr>
          <w:rFonts w:ascii="Consolas" w:hAnsi="Consolas" w:eastAsia="等线"/>
          <w:sz w:val="18"/>
        </w:rPr>
        <w:t>python -m granusci.kb build          # 完整库（含验证文献全文）</w:t>
      </w:r>
    </w:p>
    <w:p w14:paraId="12EF165F">
      <w:pPr>
        <w:spacing w:after="0" w:line="240" w:lineRule="auto"/>
        <w:ind w:firstLine="360" w:firstLineChars="200"/>
      </w:pPr>
      <w:r>
        <w:rPr>
          <w:rFonts w:ascii="Consolas" w:hAnsi="Consolas" w:eastAsia="等线"/>
          <w:sz w:val="18"/>
        </w:rPr>
        <w:t>python -m granusci.kb build blind    # 盲库（自主性验证条件）</w:t>
      </w:r>
    </w:p>
    <w:p w14:paraId="2B0EDB80">
      <w:pPr>
        <w:spacing w:after="0" w:line="240" w:lineRule="auto"/>
        <w:ind w:firstLine="360" w:firstLineChars="200"/>
      </w:pPr>
      <w:r>
        <w:rPr>
          <w:rFonts w:ascii="Consolas" w:hAnsi="Consolas" w:eastAsia="等线"/>
          <w:sz w:val="18"/>
        </w:rPr>
        <w:t xml:space="preserve"> </w:t>
      </w:r>
    </w:p>
    <w:p w14:paraId="2C9DEA3A">
      <w:pPr>
        <w:spacing w:after="0" w:line="240" w:lineRule="auto"/>
        <w:ind w:firstLine="360" w:firstLineChars="200"/>
      </w:pPr>
      <w:r>
        <w:rPr>
          <w:rFonts w:ascii="Consolas" w:hAnsi="Consolas" w:eastAsia="等线"/>
          <w:sz w:val="18"/>
        </w:rPr>
        <w:t># 单次自主研究（交互批复模式）</w:t>
      </w:r>
    </w:p>
    <w:p w14:paraId="4EBDA007">
      <w:pPr>
        <w:spacing w:after="0" w:line="240" w:lineRule="auto"/>
        <w:ind w:firstLine="360" w:firstLineChars="200"/>
      </w:pPr>
      <w:r>
        <w:rPr>
          <w:rFonts w:ascii="Consolas" w:hAnsi="Consolas" w:eastAsia="等线"/>
          <w:sz w:val="18"/>
        </w:rPr>
        <w:t>python -m granusci.run "研究意图" --tag demo</w:t>
      </w:r>
    </w:p>
    <w:p w14:paraId="05420B99">
      <w:pPr>
        <w:spacing w:after="0" w:line="240" w:lineRule="auto"/>
        <w:ind w:firstLine="360" w:firstLineChars="200"/>
      </w:pPr>
      <w:r>
        <w:rPr>
          <w:rFonts w:ascii="Consolas" w:hAnsi="Consolas" w:eastAsia="等线"/>
          <w:sz w:val="18"/>
        </w:rPr>
        <w:t xml:space="preserve"> </w:t>
      </w:r>
    </w:p>
    <w:p w14:paraId="4C1C0C95">
      <w:pPr>
        <w:spacing w:after="0" w:line="240" w:lineRule="auto"/>
        <w:ind w:firstLine="360" w:firstLineChars="200"/>
      </w:pPr>
      <w:r>
        <w:rPr>
          <w:rFonts w:ascii="Consolas" w:hAnsi="Consolas" w:eastAsia="等线"/>
          <w:sz w:val="18"/>
        </w:rPr>
        <w:t># 无人值守模式 + 实验种子（消融协议）</w:t>
      </w:r>
    </w:p>
    <w:p w14:paraId="018B57AB">
      <w:pPr>
        <w:spacing w:after="0" w:line="240" w:lineRule="auto"/>
        <w:ind w:firstLine="360" w:firstLineChars="200"/>
      </w:pPr>
      <w:r>
        <w:rPr>
          <w:rFonts w:ascii="Consolas" w:hAnsi="Consolas" w:eastAsia="等线"/>
          <w:sz w:val="18"/>
        </w:rPr>
        <w:t>python -m granusci.run "研究意图" --tag demo --yolo --seed 1 --max-steps 300</w:t>
      </w:r>
    </w:p>
    <w:p w14:paraId="5A3A23F4">
      <w:pPr>
        <w:spacing w:after="0" w:line="240" w:lineRule="auto"/>
        <w:ind w:firstLine="360" w:firstLineChars="200"/>
      </w:pPr>
      <w:r>
        <w:rPr>
          <w:rFonts w:ascii="Consolas" w:hAnsi="Consolas" w:eastAsia="等线"/>
          <w:sz w:val="18"/>
        </w:rPr>
        <w:t xml:space="preserve"> </w:t>
      </w:r>
    </w:p>
    <w:p w14:paraId="27238C9B">
      <w:pPr>
        <w:spacing w:after="0" w:line="240" w:lineRule="auto"/>
        <w:ind w:firstLine="360" w:firstLineChars="200"/>
      </w:pPr>
      <w:r>
        <w:rPr>
          <w:rFonts w:ascii="Consolas" w:hAnsi="Consolas" w:eastAsia="等线"/>
          <w:sz w:val="18"/>
        </w:rPr>
        <w:t># 消融配置示例</w:t>
      </w:r>
    </w:p>
    <w:p w14:paraId="6B3DEE68">
      <w:pPr>
        <w:spacing w:after="0" w:line="240" w:lineRule="auto"/>
        <w:ind w:firstLine="360" w:firstLineChars="200"/>
      </w:pPr>
      <w:r>
        <w:rPr>
          <w:rFonts w:ascii="Consolas" w:hAnsi="Consolas" w:eastAsia="等线"/>
          <w:sz w:val="18"/>
        </w:rPr>
        <w:t>python -m granusci.run "研究意图" --tag lit_none --yolo --seed 1 \</w:t>
      </w:r>
    </w:p>
    <w:p w14:paraId="5D3F6AF4">
      <w:pPr>
        <w:spacing w:after="0" w:line="240" w:lineRule="auto"/>
        <w:ind w:firstLine="360" w:firstLineChars="200"/>
      </w:pPr>
      <w:r>
        <w:rPr>
          <w:rFonts w:ascii="Consolas" w:hAnsi="Consolas" w:eastAsia="等线"/>
          <w:sz w:val="18"/>
        </w:rPr>
        <w:t xml:space="preserve">    --exclude-tools lit_literature_search,lit_check_novelty,lit_search_openalex,lit_survey,litf_acquire,litf_read,deep_read_paper</w:t>
      </w:r>
    </w:p>
    <w:p w14:paraId="562414DD">
      <w:pPr>
        <w:spacing w:after="0" w:line="240" w:lineRule="auto"/>
        <w:ind w:firstLine="360" w:firstLineChars="200"/>
      </w:pPr>
      <w:r>
        <w:rPr>
          <w:rFonts w:ascii="Consolas" w:hAnsi="Consolas" w:eastAsia="等线"/>
          <w:sz w:val="18"/>
        </w:rPr>
        <w:t>python -m granusci.run "研究意图" --tag blind --yolo --seed 1 --blind-kb</w:t>
      </w:r>
    </w:p>
    <w:p w14:paraId="400EE39D">
      <w:pPr>
        <w:spacing w:after="0" w:line="240" w:lineRule="auto"/>
        <w:ind w:firstLine="360" w:firstLineChars="200"/>
      </w:pPr>
      <w:r>
        <w:rPr>
          <w:rFonts w:ascii="Consolas" w:hAnsi="Consolas" w:eastAsia="等线"/>
          <w:sz w:val="18"/>
        </w:rPr>
        <w:t>python -m granusci.run "研究意图" --tag noreview --yolo --seed 1 --no-reviewer</w:t>
      </w:r>
    </w:p>
    <w:p w14:paraId="54304E7D">
      <w:pPr>
        <w:spacing w:after="0" w:line="240" w:lineRule="auto"/>
        <w:ind w:firstLine="360" w:firstLineChars="200"/>
      </w:pPr>
      <w:r>
        <w:rPr>
          <w:rFonts w:ascii="Consolas" w:hAnsi="Consolas" w:eastAsia="等线"/>
          <w:sz w:val="18"/>
        </w:rPr>
        <w:t xml:space="preserve"> </w:t>
      </w:r>
    </w:p>
    <w:p w14:paraId="41F7351C">
      <w:pPr>
        <w:spacing w:after="0" w:line="240" w:lineRule="auto"/>
        <w:ind w:firstLine="360" w:firstLineChars="200"/>
      </w:pPr>
      <w:r>
        <w:rPr>
          <w:rFonts w:ascii="Consolas" w:hAnsi="Consolas" w:eastAsia="等线"/>
          <w:sz w:val="18"/>
        </w:rPr>
        <w:t># 消融矩阵批量执行（断点续跑：可恢复终态自动 --run-dir 续跑）</w:t>
      </w:r>
    </w:p>
    <w:p w14:paraId="627E8F4C">
      <w:pPr>
        <w:spacing w:after="0" w:line="240" w:lineRule="auto"/>
        <w:ind w:firstLine="360" w:firstLineChars="200"/>
      </w:pPr>
      <w:r>
        <w:rPr>
          <w:rFonts w:ascii="Consolas" w:hAnsi="Consolas" w:eastAsia="等线"/>
          <w:sz w:val="18"/>
        </w:rPr>
        <w:t>python -m granusci.experiments granusci/matrices/sprint_ablation.json</w:t>
      </w:r>
    </w:p>
    <w:p w14:paraId="789DA2B2">
      <w:pPr>
        <w:spacing w:after="0" w:line="240" w:lineRule="auto"/>
        <w:ind w:firstLine="360" w:firstLineChars="200"/>
      </w:pPr>
      <w:r>
        <w:rPr>
          <w:rFonts w:ascii="Consolas" w:hAnsi="Consolas" w:eastAsia="等线"/>
          <w:sz w:val="18"/>
        </w:rPr>
        <w:t xml:space="preserve"> </w:t>
      </w:r>
    </w:p>
    <w:p w14:paraId="5640CC39">
      <w:pPr>
        <w:spacing w:after="0" w:line="240" w:lineRule="auto"/>
        <w:ind w:firstLine="360" w:firstLineChars="200"/>
      </w:pPr>
      <w:r>
        <w:rPr>
          <w:rFonts w:ascii="Consolas" w:hAnsi="Consolas" w:eastAsia="等线"/>
          <w:sz w:val="18"/>
        </w:rPr>
        <w:t># 断点续跑任意中断的运行</w:t>
      </w:r>
    </w:p>
    <w:p w14:paraId="1F8D337D">
      <w:pPr>
        <w:spacing w:after="0" w:line="240" w:lineRule="auto"/>
        <w:ind w:firstLine="360" w:firstLineChars="200"/>
      </w:pPr>
      <w:r>
        <w:rPr>
          <w:rFonts w:ascii="Consolas" w:hAnsi="Consolas" w:eastAsia="等线"/>
          <w:sz w:val="18"/>
        </w:rPr>
        <w:t>python -m granusci.run --resume &lt;运行目录&gt;</w:t>
      </w:r>
    </w:p>
    <w:p w14:paraId="7ED2CCEA">
      <w:pPr>
        <w:spacing w:line="480" w:lineRule="exact"/>
        <w:ind w:firstLine="560" w:firstLineChars="200"/>
      </w:pPr>
      <w:r>
        <w:t>产物：每次运行落盘于 `granusci/runs/&lt;时间戳&gt;_&lt;tag&gt;/`，含论文与幻灯片源文件及编译产物、消息史、工具调用轨迹、账本、审稿记录、用量明细与配置。安全声明：智能体制品与 MCP 注册不含任何密钥；全部计算在提交方可见的服务器上真实执行，作业目录与日志可查。</w:t>
      </w:r>
    </w:p>
    <w:p w14:paraId="4444E4C3">
      <w:pPr>
        <w:spacing w:line="480" w:lineRule="exact"/>
        <w:ind w:firstLine="560" w:firstLineChars="200"/>
      </w:pPr>
      <w:r>
        <w:t>版本与示例：智能体侧 Python 3.13，依赖以仓库依赖清单锁定；仿真服务以 Ubuntu 22.04 容器部署，LIGGGHTS-PUBLIC 3.8 串行版编译入镜像，MCP Python SDK 为 1.x 版本；分析服务运行于 Python 虚拟环境、同为 MCP SDK 1.x。基线运行的完整留痕目录 `granusci/runs/20260902_200025_paper13/`（论文 LaTeX 源与 PDF、幻灯片源与 PDF、消息史 messages.json、工具轨迹 trace.jsonl、账本 ledger.json、审稿记录 review.md、逐调用用量 llm_usage.jsonl、配置 config.json）随参赛材料归档，上述命令中的 `&lt;运行目录&gt;` 占位可替换为该目录，以核对正文引用的任一运行记录。</w:t>
      </w:r>
    </w:p>
    <w:p w14:paraId="2A023786">
      <w:pPr>
        <w:pStyle w:val="2"/>
        <w:sectPr>
          <w:pgSz w:w="11906" w:h="16838"/>
          <w:pgMar w:top="1440" w:right="1800" w:bottom="1440" w:left="1800" w:header="851" w:footer="992" w:gutter="0"/>
          <w:cols w:space="425" w:num="1"/>
          <w:docGrid w:type="lines" w:linePitch="312" w:charSpace="0"/>
        </w:sectPr>
      </w:pPr>
      <w:bookmarkStart w:id="49" w:name="_Toc4367"/>
    </w:p>
    <w:p w14:paraId="287ED813">
      <w:pPr>
        <w:pStyle w:val="2"/>
      </w:pPr>
      <w:r>
        <w:t>附录B 实现细节与参数清单</w:t>
      </w:r>
      <w:bookmarkEnd w:id="49"/>
    </w:p>
    <w:p w14:paraId="606E1E41">
      <w:pPr>
        <w:pStyle w:val="3"/>
      </w:pPr>
      <w:bookmarkStart w:id="50" w:name="_Toc27185"/>
      <w:r>
        <w:t>B.1 物理模型与固定参数</w:t>
      </w:r>
      <w:bookmarkEnd w:id="50"/>
    </w:p>
    <w:p w14:paraId="7C057620">
      <w:pPr>
        <w:pStyle w:val="11"/>
        <w:keepNext/>
        <w:jc w:val="center"/>
      </w:pPr>
      <w:r>
        <w:t>表 B.1 物理模型与固定参数（基线运行实际执行值；与文献</w:t>
      </w:r>
      <w:r>
        <w:rPr>
          <w:sz w:val="18"/>
          <w:szCs w:val="18"/>
          <w:vertAlign w:val="superscript"/>
        </w:rPr>
        <w:t>[12]</w:t>
      </w:r>
      <w:r>
        <w:t>印刷值的差异逐条注明）</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03"/>
        <w:gridCol w:w="3088"/>
        <w:gridCol w:w="3087"/>
      </w:tblGrid>
      <w:tr w14:paraId="68A9A7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103" w:type="dxa"/>
            <w:tcBorders>
              <w:bottom w:val="single" w:color="auto" w:sz="4" w:space="0"/>
            </w:tcBorders>
            <w:vAlign w:val="center"/>
          </w:tcPr>
          <w:p w14:paraId="610FF21F">
            <w:pPr>
              <w:spacing w:line="480" w:lineRule="atLeast"/>
              <w:jc w:val="center"/>
            </w:pPr>
            <w:r>
              <w:rPr>
                <w:b/>
                <w:sz w:val="21"/>
                <w:szCs w:val="21"/>
              </w:rPr>
              <w:t>参数</w:t>
            </w:r>
          </w:p>
        </w:tc>
        <w:tc>
          <w:tcPr>
            <w:tcW w:w="3088" w:type="dxa"/>
            <w:tcBorders>
              <w:bottom w:val="single" w:color="auto" w:sz="4" w:space="0"/>
            </w:tcBorders>
            <w:vAlign w:val="center"/>
          </w:tcPr>
          <w:p w14:paraId="074E3E3C">
            <w:pPr>
              <w:spacing w:line="480" w:lineRule="atLeast"/>
              <w:jc w:val="center"/>
            </w:pPr>
            <w:r>
              <w:rPr>
                <w:b/>
                <w:sz w:val="21"/>
                <w:szCs w:val="21"/>
              </w:rPr>
              <w:t>取值</w:t>
            </w:r>
          </w:p>
        </w:tc>
        <w:tc>
          <w:tcPr>
            <w:tcW w:w="3087" w:type="dxa"/>
            <w:tcBorders>
              <w:bottom w:val="single" w:color="auto" w:sz="4" w:space="0"/>
            </w:tcBorders>
            <w:vAlign w:val="center"/>
          </w:tcPr>
          <w:p w14:paraId="49A9AFF2">
            <w:pPr>
              <w:spacing w:line="480" w:lineRule="atLeast"/>
              <w:jc w:val="center"/>
            </w:pPr>
            <w:r>
              <w:rPr>
                <w:b/>
                <w:sz w:val="21"/>
                <w:szCs w:val="21"/>
              </w:rPr>
              <w:t>来源</w:t>
            </w:r>
          </w:p>
        </w:tc>
      </w:tr>
      <w:tr w14:paraId="13A92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tcBorders>
              <w:top w:val="single" w:color="auto" w:sz="4" w:space="0"/>
            </w:tcBorders>
            <w:vAlign w:val="center"/>
          </w:tcPr>
          <w:p w14:paraId="3C2A245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 xml:space="preserve">槽长 </w:t>
            </w:r>
            <m:oMath>
              <m:r>
                <m:rPr/>
                <w:rPr>
                  <w:sz w:val="21"/>
                  <w:szCs w:val="21"/>
                </w:rPr>
                <m:t>L</m:t>
              </m:r>
            </m:oMath>
            <w:r>
              <w:rPr>
                <w:sz w:val="21"/>
                <w:szCs w:val="21"/>
              </w:rPr>
              <w:t xml:space="preserve"> × 槽高 </w:t>
            </w:r>
            <m:oMath>
              <m:r>
                <m:rPr/>
                <w:rPr>
                  <w:sz w:val="21"/>
                  <w:szCs w:val="21"/>
                </w:rPr>
                <m:t>H</m:t>
              </m:r>
            </m:oMath>
            <w:r>
              <w:rPr>
                <w:sz w:val="21"/>
                <w:szCs w:val="21"/>
              </w:rPr>
              <w:t xml:space="preserve"> × 槽宽 </w:t>
            </w:r>
            <m:oMath>
              <m:r>
                <m:rPr/>
                <w:rPr>
                  <w:sz w:val="21"/>
                  <w:szCs w:val="21"/>
                </w:rPr>
                <m:t>W</m:t>
              </m:r>
            </m:oMath>
          </w:p>
        </w:tc>
        <w:tc>
          <w:tcPr>
            <w:tcW w:w="3088" w:type="dxa"/>
            <w:tcBorders>
              <w:top w:val="single" w:color="auto" w:sz="4" w:space="0"/>
            </w:tcBorders>
            <w:vAlign w:val="center"/>
          </w:tcPr>
          <w:p w14:paraId="0D93875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0.1 × 0.2 × 0.0045 m</w:t>
            </w:r>
          </w:p>
        </w:tc>
        <w:tc>
          <w:tcPr>
            <w:tcW w:w="3087" w:type="dxa"/>
            <w:tcBorders>
              <w:top w:val="single" w:color="auto" w:sz="4" w:space="0"/>
            </w:tcBorders>
            <w:vAlign w:val="center"/>
          </w:tcPr>
          <w:p w14:paraId="40670920">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表 2.1（准二维：宽度约为本次运行粒径的 2.25 倍）</w:t>
            </w:r>
          </w:p>
        </w:tc>
      </w:tr>
      <w:tr w14:paraId="446086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58C20FB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 xml:space="preserve">颗粒直径 </w:t>
            </w:r>
            <m:oMath>
              <m:r>
                <m:rPr/>
                <w:rPr>
                  <w:sz w:val="21"/>
                  <w:szCs w:val="21"/>
                </w:rPr>
                <m:t>d</m:t>
              </m:r>
            </m:oMath>
            <w:r>
              <w:rPr>
                <w:sz w:val="21"/>
                <w:szCs w:val="21"/>
              </w:rPr>
              <w:t xml:space="preserve"> / 密度 </w:t>
            </w:r>
            <m:oMath>
              <m:r>
                <m:rPr/>
                <w:rPr>
                  <w:sz w:val="21"/>
                  <w:szCs w:val="21"/>
                </w:rPr>
                <m:t>ρ</m:t>
              </m:r>
            </m:oMath>
          </w:p>
        </w:tc>
        <w:tc>
          <w:tcPr>
            <w:tcW w:w="3088" w:type="dxa"/>
            <w:vAlign w:val="center"/>
          </w:tcPr>
          <w:p w14:paraId="0A36B50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2 mm / 2500 kg/m³</w:t>
            </w:r>
          </w:p>
        </w:tc>
        <w:tc>
          <w:tcPr>
            <w:tcW w:w="3087" w:type="dxa"/>
            <w:vAlign w:val="center"/>
          </w:tcPr>
          <w:p w14:paraId="7B74E68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本次运行设计输入（单分散球，全部工况一致，与附录E 英文论文披露一致；文献</w:t>
            </w:r>
            <w:r>
              <w:rPr>
                <w:sz w:val="21"/>
                <w:szCs w:val="21"/>
                <w:vertAlign w:val="superscript"/>
              </w:rPr>
              <w:t>[12]</w:t>
            </w:r>
            <w:r>
              <w:rPr>
                <w:sz w:val="21"/>
                <w:szCs w:val="21"/>
              </w:rPr>
              <w:t>表 2.1 印刷值为 4 mm，本次运行未采用）</w:t>
            </w:r>
          </w:p>
        </w:tc>
      </w:tr>
      <w:tr w14:paraId="272C0B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7141CDC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 xml:space="preserve">杨氏模量 </w:t>
            </w:r>
            <m:oMath>
              <m:r>
                <m:rPr/>
                <w:rPr>
                  <w:sz w:val="21"/>
                  <w:szCs w:val="21"/>
                </w:rPr>
                <m:t>E</m:t>
              </m:r>
            </m:oMath>
            <w:r>
              <w:rPr>
                <w:sz w:val="21"/>
                <w:szCs w:val="21"/>
              </w:rPr>
              <w:t xml:space="preserve"> / 泊松比 </w:t>
            </w:r>
            <m:oMath>
              <m:r>
                <m:rPr/>
                <w:rPr>
                  <w:sz w:val="21"/>
                  <w:szCs w:val="21"/>
                </w:rPr>
                <m:t>ν</m:t>
              </m:r>
            </m:oMath>
          </w:p>
        </w:tc>
        <w:tc>
          <w:tcPr>
            <w:tcW w:w="3088" w:type="dxa"/>
            <w:vAlign w:val="center"/>
          </w:tcPr>
          <w:p w14:paraId="224456E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5×10⁷ Pa / 0.45</w:t>
            </w:r>
          </w:p>
        </w:tc>
        <w:tc>
          <w:tcPr>
            <w:tcW w:w="3087" w:type="dxa"/>
            <w:vAlign w:val="center"/>
          </w:tcPr>
          <w:p w14:paraId="720F3DF2">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表 2.1</w:t>
            </w:r>
          </w:p>
        </w:tc>
      </w:tr>
      <w:tr w14:paraId="2135EB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4C3C3D6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 xml:space="preserve">恢复系数 </w:t>
            </w:r>
            <m:oMath>
              <m:r>
                <m:rPr/>
                <w:rPr>
                  <w:sz w:val="21"/>
                  <w:szCs w:val="21"/>
                </w:rPr>
                <m:t>e</m:t>
              </m:r>
            </m:oMath>
            <w:r>
              <w:rPr>
                <w:sz w:val="21"/>
                <w:szCs w:val="21"/>
              </w:rPr>
              <w:t xml:space="preserve"> / 滚动摩擦系数</w:t>
            </w:r>
          </w:p>
        </w:tc>
        <w:tc>
          <w:tcPr>
            <w:tcW w:w="3088" w:type="dxa"/>
            <w:vAlign w:val="center"/>
          </w:tcPr>
          <w:p w14:paraId="3AA0251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0.95 / 0.03</w:t>
            </w:r>
          </w:p>
        </w:tc>
        <w:tc>
          <w:tcPr>
            <w:tcW w:w="3087" w:type="dxa"/>
            <w:vAlign w:val="center"/>
          </w:tcPr>
          <w:p w14:paraId="599F02D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表 2.1</w:t>
            </w:r>
          </w:p>
        </w:tc>
      </w:tr>
      <w:tr w14:paraId="321762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45604E1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滑动摩擦系数</w:t>
            </w:r>
          </w:p>
        </w:tc>
        <w:tc>
          <w:tcPr>
            <w:tcW w:w="3088" w:type="dxa"/>
            <w:vAlign w:val="center"/>
          </w:tcPr>
          <w:p w14:paraId="613FFFD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0.3</w:t>
            </w:r>
          </w:p>
        </w:tc>
        <w:tc>
          <w:tcPr>
            <w:tcW w:w="3087" w:type="dxa"/>
            <w:vAlign w:val="center"/>
          </w:tcPr>
          <w:p w14:paraId="4D59EF7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作者源代码（其表 2.1 印刷值 0.5 与源码不一致，以源码为准）</w:t>
            </w:r>
          </w:p>
        </w:tc>
      </w:tr>
      <w:tr w14:paraId="6A054E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763CA9B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接触模型</w:t>
            </w:r>
          </w:p>
        </w:tc>
        <w:tc>
          <w:tcPr>
            <w:tcW w:w="3088" w:type="dxa"/>
            <w:vAlign w:val="center"/>
          </w:tcPr>
          <w:p w14:paraId="7A39F5E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Hertz 法向 + Mindlin 切向 + epsd2 滚动摩擦（经典弹性接触模型及其切向历史与滚动摩擦扩展）</w:t>
            </w:r>
          </w:p>
        </w:tc>
        <w:tc>
          <w:tcPr>
            <w:tcW w:w="3087" w:type="dxa"/>
            <w:vAlign w:val="center"/>
          </w:tcPr>
          <w:p w14:paraId="201ACE8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源代码逐行移植</w:t>
            </w:r>
          </w:p>
        </w:tc>
      </w:tr>
      <w:tr w14:paraId="4948D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254CA7C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 xml:space="preserve">时间步 </w:t>
            </w:r>
            <m:oMath>
              <m:r>
                <m:rPr/>
                <w:rPr>
                  <w:sz w:val="21"/>
                  <w:szCs w:val="21"/>
                </w:rPr>
                <m:t>Δt</m:t>
              </m:r>
            </m:oMath>
          </w:p>
        </w:tc>
        <w:tc>
          <w:tcPr>
            <w:tcW w:w="3088" w:type="dxa"/>
            <w:vAlign w:val="center"/>
          </w:tcPr>
          <w:p w14:paraId="2BAD5C01">
            <w:pPr>
              <w:keepNext w:val="0"/>
              <w:keepLines w:val="0"/>
              <w:pageBreakBefore w:val="0"/>
              <w:widowControl w:val="0"/>
              <w:kinsoku/>
              <w:wordWrap/>
              <w:overflowPunct/>
              <w:topLinePunct w:val="0"/>
              <w:autoSpaceDE/>
              <w:autoSpaceDN/>
              <w:bidi w:val="0"/>
              <w:adjustRightInd/>
              <w:snapToGrid/>
              <w:spacing w:line="240" w:lineRule="auto"/>
              <w:textAlignment w:val="auto"/>
            </w:pPr>
            <m:oMath>
              <m:sSup>
                <m:sSupPr/>
                <m:e>
                  <m:r>
                    <m:rPr/>
                    <w:rPr>
                      <w:sz w:val="21"/>
                      <w:szCs w:val="21"/>
                    </w:rPr>
                    <m:t>1×10</m:t>
                  </m:r>
                </m:e>
                <m:sup>
                  <m:r>
                    <m:rPr/>
                    <w:rPr>
                      <w:sz w:val="21"/>
                      <w:szCs w:val="21"/>
                    </w:rPr>
                    <m:t>−5</m:t>
                  </m:r>
                </m:sup>
              </m:sSup>
            </m:oMath>
            <w:r>
              <w:rPr>
                <w:sz w:val="21"/>
                <w:szCs w:val="21"/>
              </w:rPr>
              <w:t xml:space="preserve"> s</w:t>
            </w:r>
          </w:p>
        </w:tc>
        <w:tc>
          <w:tcPr>
            <w:tcW w:w="3087" w:type="dxa"/>
            <w:vAlign w:val="center"/>
          </w:tcPr>
          <w:p w14:paraId="059AAB8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式（2.15）特征碰撞时间准则（</w:t>
            </w:r>
            <m:oMath>
              <m:sSub>
                <m:sSubPr/>
                <m:e>
                  <m:r>
                    <m:rPr/>
                    <w:rPr>
                      <w:sz w:val="21"/>
                      <w:szCs w:val="21"/>
                    </w:rPr>
                    <m:t>Δt &lt; t</m:t>
                  </m:r>
                </m:e>
                <m:sub>
                  <m:r>
                    <m:rPr/>
                    <w:rPr>
                      <w:sz w:val="21"/>
                      <w:szCs w:val="21"/>
                    </w:rPr>
                    <m:t>c</m:t>
                  </m:r>
                </m:sub>
              </m:sSub>
              <m:r>
                <m:rPr/>
                <w:rPr>
                  <w:sz w:val="21"/>
                  <w:szCs w:val="21"/>
                </w:rPr>
                <m:t>/10</m:t>
              </m:r>
            </m:oMath>
            <w:r>
              <w:rPr>
                <w:sz w:val="21"/>
                <w:szCs w:val="21"/>
              </w:rPr>
              <w:t>）</w:t>
            </w:r>
          </w:p>
        </w:tc>
      </w:tr>
      <w:tr w14:paraId="0776C5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64A5B16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初始床层</w:t>
            </w:r>
          </w:p>
        </w:tc>
        <w:tc>
          <w:tcPr>
            <w:tcW w:w="3088" w:type="dxa"/>
            <w:vAlign w:val="center"/>
          </w:tcPr>
          <w:p w14:paraId="6A57F1F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自然堆积（随机插入 + 两级沉降）</w:t>
            </w:r>
          </w:p>
        </w:tc>
        <w:tc>
          <w:tcPr>
            <w:tcW w:w="3087" w:type="dxa"/>
            <w:vAlign w:val="center"/>
          </w:tcPr>
          <w:p w14:paraId="3C27AB2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w:t>
            </w:r>
            <w:r>
              <w:rPr>
                <w:sz w:val="21"/>
                <w:szCs w:val="21"/>
                <w:vertAlign w:val="superscript"/>
              </w:rPr>
              <w:t>[12]</w:t>
            </w:r>
            <w:r>
              <w:rPr>
                <w:sz w:val="21"/>
                <w:szCs w:val="21"/>
              </w:rPr>
              <w:t>第 2.1.2 节</w:t>
            </w:r>
          </w:p>
        </w:tc>
      </w:tr>
      <w:tr w14:paraId="451253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03" w:type="dxa"/>
            <w:vAlign w:val="center"/>
          </w:tcPr>
          <w:p w14:paraId="7A189FA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模拟域</w:t>
            </w:r>
          </w:p>
        </w:tc>
        <w:tc>
          <w:tcPr>
            <w:tcW w:w="3088" w:type="dxa"/>
            <w:vAlign w:val="center"/>
          </w:tcPr>
          <w:p w14:paraId="349CB1F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竖直方向预留 ±50 mm 余量</w:t>
            </w:r>
          </w:p>
        </w:tc>
        <w:tc>
          <w:tcPr>
            <w:tcW w:w="3087" w:type="dxa"/>
            <w:vAlign w:val="center"/>
          </w:tcPr>
          <w:p w14:paraId="6963080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本工程自适应约束（防大振幅抛掷越界）</w:t>
            </w:r>
          </w:p>
        </w:tc>
      </w:tr>
    </w:tbl>
    <w:p w14:paraId="44121221">
      <w:pPr>
        <w:pStyle w:val="3"/>
      </w:pPr>
      <w:bookmarkStart w:id="51" w:name="_Toc31446"/>
      <w:r>
        <w:t>B.2 无量纲设计到仿真配置的换算</w:t>
      </w:r>
      <w:bookmarkEnd w:id="51"/>
    </w:p>
    <w:p w14:paraId="5E3BA04B">
      <w:pPr>
        <w:spacing w:line="480" w:lineRule="exact"/>
        <w:ind w:firstLine="560" w:firstLineChars="200"/>
      </w:pPr>
      <w:r>
        <w:t>无量纲设计参数到离散元计算配置的换算在仿真服务内部完成，公式如下：</w:t>
      </w:r>
    </w:p>
    <w:p w14:paraId="129CF3FF">
      <w:pPr>
        <w:tabs>
          <w:tab w:val="center" w:pos="4139"/>
          <w:tab w:val="right" w:pos="8278"/>
        </w:tabs>
        <w:spacing w:line="560" w:lineRule="atLeast"/>
      </w:pPr>
      <w:r>
        <w:tab/>
      </w:r>
      <m:oMath>
        <m:r>
          <m:rPr/>
          <m:t>a = (a/d)·d</m:t>
        </m:r>
      </m:oMath>
      <w:r>
        <w:tab/>
      </w:r>
      <w:r>
        <w:t>(7)</w:t>
      </w:r>
    </w:p>
    <w:p w14:paraId="7C9C4F9D">
      <w:pPr>
        <w:tabs>
          <w:tab w:val="center" w:pos="4139"/>
          <w:tab w:val="right" w:pos="8278"/>
        </w:tabs>
        <w:spacing w:line="560" w:lineRule="atLeast"/>
      </w:pPr>
      <w:r>
        <w:tab/>
      </w:r>
      <m:oMath>
        <m:r>
          <m:rPr/>
          <m:t>T = 2π</m:t>
        </m:r>
        <m:rad>
          <m:radPr>
            <m:degHide m:val="1"/>
          </m:radPr>
          <m:deg/>
          <m:e>
            <m:f>
              <m:fPr/>
              <m:num>
                <m:r>
                  <m:rPr/>
                  <m:t>a</m:t>
                </m:r>
              </m:num>
              <m:den>
                <m:r>
                  <m:rPr/>
                  <m:t>Γg</m:t>
                </m:r>
              </m:den>
            </m:f>
          </m:e>
        </m:rad>
      </m:oMath>
      <w:r>
        <w:tab/>
      </w:r>
      <w:r>
        <w:t>(8)</w:t>
      </w:r>
    </w:p>
    <w:p w14:paraId="3F1B0EC4">
      <w:pPr>
        <w:tabs>
          <w:tab w:val="center" w:pos="4139"/>
          <w:tab w:val="right" w:pos="8278"/>
        </w:tabs>
        <w:spacing w:line="560" w:lineRule="atLeast"/>
      </w:pPr>
      <w:r>
        <w:tab/>
      </w:r>
      <m:oMath>
        <m:r>
          <m:rPr/>
          <m:t>n = F·round(L/d)</m:t>
        </m:r>
      </m:oMath>
      <w:r>
        <w:tab/>
      </w:r>
      <w:r>
        <w:t>(9)</w:t>
      </w:r>
    </w:p>
    <w:p w14:paraId="78A641CB">
      <w:pPr>
        <w:tabs>
          <w:tab w:val="center" w:pos="4139"/>
          <w:tab w:val="right" w:pos="8278"/>
        </w:tabs>
        <w:spacing w:line="560" w:lineRule="atLeast"/>
      </w:pPr>
      <w:r>
        <w:tab/>
      </w:r>
      <m:oMath>
        <m:r>
          <m:rPr/>
          <m:t>save = round(</m:t>
        </m:r>
        <m:f>
          <m:fPr/>
          <m:num>
            <m:r>
              <m:rPr/>
              <m:t>T</m:t>
            </m:r>
          </m:num>
          <m:den>
            <m:r>
              <m:rPr/>
              <m:t>8Δt</m:t>
            </m:r>
          </m:den>
        </m:f>
        <m:r>
          <m:rPr/>
          <m:t>)</m:t>
        </m:r>
      </m:oMath>
      <w:r>
        <w:tab/>
      </w:r>
      <w:r>
        <w:t>(10)</w:t>
      </w:r>
    </w:p>
    <w:p w14:paraId="55E1BB59">
      <w:pPr>
        <w:tabs>
          <w:tab w:val="center" w:pos="4139"/>
          <w:tab w:val="right" w:pos="8278"/>
        </w:tabs>
        <w:spacing w:line="560" w:lineRule="atLeast"/>
      </w:pPr>
      <w:r>
        <w:tab/>
      </w:r>
      <m:oMath>
        <m:sSub>
          <m:sSubPr/>
          <m:e>
            <m:r>
              <m:rPr/>
              <m:t>run</m:t>
            </m:r>
          </m:e>
          <m:sub>
            <m:r>
              <m:rPr/>
              <m:t>dev</m:t>
            </m:r>
          </m:sub>
        </m:sSub>
        <m:sSub>
          <m:sSubPr/>
          <m:e>
            <m:r>
              <m:rPr/>
              <m:t xml:space="preserve"> = 8·n</m:t>
            </m:r>
          </m:e>
          <m:sub>
            <m:r>
              <m:rPr/>
              <m:t>dev</m:t>
            </m:r>
          </m:sub>
        </m:sSub>
        <m:r>
          <m:rPr/>
          <m:t xml:space="preserve">·save,  </m:t>
        </m:r>
        <m:sSub>
          <m:sSubPr/>
          <m:e>
            <m:r>
              <m:rPr/>
              <m:t xml:space="preserve"> run</m:t>
            </m:r>
          </m:e>
          <m:sub>
            <m:r>
              <m:rPr/>
              <m:t>stat</m:t>
            </m:r>
          </m:sub>
        </m:sSub>
        <m:sSub>
          <m:sSubPr/>
          <m:e>
            <m:r>
              <m:rPr/>
              <m:t xml:space="preserve"> = 8·n</m:t>
            </m:r>
          </m:e>
          <m:sub>
            <m:r>
              <m:rPr/>
              <m:t>stat</m:t>
            </m:r>
          </m:sub>
        </m:sSub>
        <m:r>
          <m:rPr/>
          <m:t>·save</m:t>
        </m:r>
      </m:oMath>
      <w:r>
        <w:tab/>
      </w:r>
      <w:r>
        <w:t>(11)</w:t>
      </w:r>
    </w:p>
    <w:p w14:paraId="449C1B3A">
      <w:pPr>
        <w:spacing w:line="480" w:lineRule="exact"/>
        <w:ind w:firstLine="560" w:firstLineChars="200"/>
      </w:pPr>
      <w:r>
        <w:t xml:space="preserve">其中 </w:t>
      </w:r>
      <m:oMath>
        <m:r>
          <m:rPr/>
          <w:rPr>
            <w:sz w:val="24"/>
            <w:szCs w:val="24"/>
          </w:rPr>
          <m:t>T</m:t>
        </m:r>
      </m:oMath>
      <w:r>
        <w:t xml:space="preserve"> 为振动周期（与 2.6 节颗粒温度 </w:t>
      </w:r>
      <m:oMath>
        <m:sSubSup>
          <m:sSubSupPr/>
          <m:e>
            <m:r>
              <m:rPr/>
              <w:rPr>
                <w:sz w:val="24"/>
                <w:szCs w:val="24"/>
              </w:rPr>
              <m:t>T</m:t>
            </m:r>
          </m:e>
          <m:sub>
            <m:r>
              <m:rPr/>
              <w:rPr>
                <w:sz w:val="24"/>
                <w:szCs w:val="24"/>
              </w:rPr>
              <m:t>y</m:t>
            </m:r>
          </m:sub>
          <m:sup>
            <m:r>
              <m:rPr/>
              <w:rPr>
                <w:sz w:val="24"/>
                <w:szCs w:val="24"/>
              </w:rPr>
              <m:t>∗</m:t>
            </m:r>
          </m:sup>
        </m:sSubSup>
      </m:oMath>
      <w:r>
        <w:t xml:space="preserve"> 记号相区分），</w:t>
      </w:r>
      <m:oMath>
        <m:r>
          <m:rPr/>
          <w:rPr>
            <w:sz w:val="24"/>
            <w:szCs w:val="24"/>
          </w:rPr>
          <m:t>n</m:t>
        </m:r>
      </m:oMath>
      <w:r>
        <w:t xml:space="preserve"> 为名义颗粒数，</w:t>
      </w:r>
      <m:oMath>
        <m:r>
          <m:rPr/>
          <w:rPr>
            <w:sz w:val="24"/>
            <w:szCs w:val="24"/>
          </w:rPr>
          <m:t>save</m:t>
        </m:r>
      </m:oMath>
      <w:r>
        <w:t xml:space="preserve"> 为采样间隔（以步计），</w:t>
      </w:r>
      <m:oMath>
        <m:sSub>
          <m:sSubPr/>
          <m:e>
            <m:r>
              <m:rPr/>
              <w:rPr>
                <w:sz w:val="24"/>
                <w:szCs w:val="24"/>
              </w:rPr>
              <m:t>n</m:t>
            </m:r>
          </m:e>
          <m:sub>
            <m:r>
              <m:rPr/>
              <w:rPr>
                <w:sz w:val="24"/>
                <w:szCs w:val="24"/>
              </w:rPr>
              <m:t>dev</m:t>
            </m:r>
          </m:sub>
        </m:sSub>
      </m:oMath>
      <w:r>
        <w:t>、</w:t>
      </w:r>
      <m:oMath>
        <m:sSub>
          <m:sSubPr/>
          <m:e>
            <m:r>
              <m:rPr/>
              <w:rPr>
                <w:sz w:val="24"/>
                <w:szCs w:val="24"/>
              </w:rPr>
              <m:t>n</m:t>
            </m:r>
          </m:e>
          <m:sub>
            <m:r>
              <m:rPr/>
              <w:rPr>
                <w:sz w:val="24"/>
                <w:szCs w:val="24"/>
              </w:rPr>
              <m:t>stat</m:t>
            </m:r>
          </m:sub>
        </m:sSub>
      </m:oMath>
      <w:r>
        <w:t xml:space="preserve"> 分别为发展段与统计段的周期数。以本次运行参数（</w:t>
      </w:r>
      <m:oMath>
        <m:r>
          <m:rPr/>
          <w:rPr>
            <w:sz w:val="24"/>
            <w:szCs w:val="24"/>
          </w:rPr>
          <m:t>d</m:t>
        </m:r>
      </m:oMath>
      <w:r>
        <w:t>=2 mm、</w:t>
      </w:r>
      <m:oMath>
        <m:r>
          <m:rPr/>
          <w:rPr>
            <w:sz w:val="24"/>
            <w:szCs w:val="24"/>
          </w:rPr>
          <m:t>L</m:t>
        </m:r>
      </m:oMath>
      <w:r>
        <w:t>=0.1 m，</w:t>
      </w:r>
      <m:oMath>
        <m:r>
          <m:rPr/>
          <w:rPr>
            <w:sz w:val="24"/>
            <w:szCs w:val="24"/>
          </w:rPr>
          <m:t>L/d</m:t>
        </m:r>
      </m:oMath>
      <w:r>
        <w:t>=50）为例，</w:t>
      </w:r>
      <m:oMath>
        <m:r>
          <m:rPr/>
          <w:rPr>
            <w:sz w:val="24"/>
            <w:szCs w:val="24"/>
          </w:rPr>
          <m:t>F</m:t>
        </m:r>
      </m:oMath>
      <w:r>
        <w:t>=4/8/16 对应名义颗粒数 200/400/800；初始化以质量目标插入颗粒并经重力沉降，沉降后实际颗粒数为 106/231/502（窄槽插入的重叠检查使部分颗粒未能落位），全部响应量按实际颗粒集合统计——附录E 英文论文披露的即该实际计数。全部换算在服务端设计模块中实现、可逐行审计，公式已用文献</w:t>
      </w:r>
      <w:r>
        <w:rPr>
          <w:sz w:val="18"/>
          <w:szCs w:val="18"/>
          <w:vertAlign w:val="superscript"/>
        </w:rPr>
        <w:t>[12]</w:t>
      </w:r>
      <w:r>
        <w:t xml:space="preserve">作者的原始设计数据逐数值验证（该作者设计取 </w:t>
      </w:r>
      <m:oMath>
        <m:r>
          <m:rPr/>
          <w:rPr>
            <w:sz w:val="24"/>
            <w:szCs w:val="24"/>
          </w:rPr>
          <m:t>d</m:t>
        </m:r>
      </m:oMath>
      <w:r>
        <w:t>=4 mm，振幅换算式同形）。</w:t>
      </w:r>
    </w:p>
    <w:p w14:paraId="3EA5C0F3">
      <w:pPr>
        <w:pStyle w:val="3"/>
      </w:pPr>
      <w:bookmarkStart w:id="52" w:name="_Toc5370"/>
      <w:r>
        <w:t>B.3 智能体工具面清单</w:t>
      </w:r>
      <w:bookmarkEnd w:id="52"/>
    </w:p>
    <w:p w14:paraId="63F8E28F">
      <w:pPr>
        <w:pStyle w:val="11"/>
        <w:keepNext/>
        <w:jc w:val="center"/>
      </w:pPr>
      <w:r>
        <w:t>表 B.2 智能体可调用工具清单（MCP 服务工具带前缀）</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560"/>
        <w:gridCol w:w="3245"/>
        <w:gridCol w:w="962"/>
        <w:gridCol w:w="3511"/>
      </w:tblGrid>
      <w:tr w14:paraId="66E066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560" w:type="dxa"/>
            <w:tcBorders>
              <w:bottom w:val="single" w:color="auto" w:sz="4" w:space="0"/>
            </w:tcBorders>
            <w:vAlign w:val="center"/>
          </w:tcPr>
          <w:p w14:paraId="3D4F5BE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类别</w:t>
            </w:r>
          </w:p>
        </w:tc>
        <w:tc>
          <w:tcPr>
            <w:tcW w:w="3245" w:type="dxa"/>
            <w:tcBorders>
              <w:bottom w:val="single" w:color="auto" w:sz="4" w:space="0"/>
            </w:tcBorders>
            <w:vAlign w:val="center"/>
          </w:tcPr>
          <w:p w14:paraId="1F54E05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工具</w:t>
            </w:r>
          </w:p>
        </w:tc>
        <w:tc>
          <w:tcPr>
            <w:tcW w:w="962" w:type="dxa"/>
            <w:tcBorders>
              <w:bottom w:val="single" w:color="auto" w:sz="4" w:space="0"/>
            </w:tcBorders>
            <w:vAlign w:val="center"/>
          </w:tcPr>
          <w:p w14:paraId="71C86D6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来源</w:t>
            </w:r>
          </w:p>
        </w:tc>
        <w:tc>
          <w:tcPr>
            <w:tcW w:w="3511" w:type="dxa"/>
            <w:tcBorders>
              <w:bottom w:val="single" w:color="auto" w:sz="4" w:space="0"/>
            </w:tcBorders>
            <w:vAlign w:val="center"/>
          </w:tcPr>
          <w:p w14:paraId="685B6F4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功能</w:t>
            </w:r>
          </w:p>
        </w:tc>
      </w:tr>
      <w:tr w14:paraId="54BD20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tcBorders>
              <w:top w:val="single" w:color="auto" w:sz="4" w:space="0"/>
            </w:tcBorders>
            <w:vAlign w:val="center"/>
          </w:tcPr>
          <w:p w14:paraId="1EA72F1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仿真</w:t>
            </w:r>
          </w:p>
        </w:tc>
        <w:tc>
          <w:tcPr>
            <w:tcW w:w="3245" w:type="dxa"/>
            <w:tcBorders>
              <w:top w:val="single" w:color="auto" w:sz="4" w:space="0"/>
            </w:tcBorders>
            <w:vAlign w:val="center"/>
          </w:tcPr>
          <w:p w14:paraId="7ACB580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dem_generate_design / run_simulation / job_status / postprocess / merge_responses / get_snapshot / get_profiles</w:t>
            </w:r>
          </w:p>
        </w:tc>
        <w:tc>
          <w:tcPr>
            <w:tcW w:w="962" w:type="dxa"/>
            <w:tcBorders>
              <w:top w:val="single" w:color="auto" w:sz="4" w:space="0"/>
            </w:tcBorders>
            <w:vAlign w:val="center"/>
          </w:tcPr>
          <w:p w14:paraId="28E0C2C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仿真服务</w:t>
            </w:r>
          </w:p>
        </w:tc>
        <w:tc>
          <w:tcPr>
            <w:tcW w:w="3511" w:type="dxa"/>
            <w:tcBorders>
              <w:top w:val="single" w:color="auto" w:sz="4" w:space="0"/>
            </w:tcBorders>
            <w:vAlign w:val="center"/>
          </w:tcPr>
          <w:p w14:paraId="06AEB51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设计换算、批量仿真、进度、响应量、合并、快照、时均场</w:t>
            </w:r>
          </w:p>
        </w:tc>
      </w:tr>
      <w:tr w14:paraId="6088FB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045380B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分析</w:t>
            </w:r>
          </w:p>
        </w:tc>
        <w:tc>
          <w:tcPr>
            <w:tcW w:w="3245" w:type="dxa"/>
            <w:vAlign w:val="center"/>
          </w:tcPr>
          <w:p w14:paraId="64CCA21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ddda_compute_derivatives / cluster_analysis / fit_power_function / run_full_pipeline / predict</w:t>
            </w:r>
          </w:p>
        </w:tc>
        <w:tc>
          <w:tcPr>
            <w:tcW w:w="962" w:type="dxa"/>
            <w:vAlign w:val="center"/>
          </w:tcPr>
          <w:p w14:paraId="08A892F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分析服务</w:t>
            </w:r>
          </w:p>
        </w:tc>
        <w:tc>
          <w:tcPr>
            <w:tcW w:w="3511" w:type="dxa"/>
            <w:vAlign w:val="center"/>
          </w:tcPr>
          <w:p w14:paraId="4E3FBFA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偏导数、分区、拟合、全流程、预测</w:t>
            </w:r>
          </w:p>
        </w:tc>
      </w:tr>
      <w:tr w14:paraId="6DBB53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7A32B15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文献</w:t>
            </w:r>
          </w:p>
        </w:tc>
        <w:tc>
          <w:tcPr>
            <w:tcW w:w="3245" w:type="dxa"/>
            <w:vAlign w:val="center"/>
          </w:tcPr>
          <w:p w14:paraId="498C555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lit_literature_search / lit_check_novelty / lit_search_openalex / litf_acquire / litf_read / deep_read_paper / lit_survey</w:t>
            </w:r>
          </w:p>
        </w:tc>
        <w:tc>
          <w:tcPr>
            <w:tcW w:w="962" w:type="dxa"/>
            <w:vAlign w:val="center"/>
          </w:tcPr>
          <w:p w14:paraId="550387A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文献服务+本地</w:t>
            </w:r>
          </w:p>
        </w:tc>
        <w:tc>
          <w:tcPr>
            <w:tcW w:w="3511" w:type="dxa"/>
            <w:vAlign w:val="center"/>
          </w:tcPr>
          <w:p w14:paraId="507145B2">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检索、查新、开放库、全文获取、读取、子代理精读、主题调研</w:t>
            </w:r>
          </w:p>
        </w:tc>
      </w:tr>
      <w:tr w14:paraId="2F1408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0D9136F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知识</w:t>
            </w:r>
          </w:p>
        </w:tc>
        <w:tc>
          <w:tcPr>
            <w:tcW w:w="3245" w:type="dxa"/>
            <w:vAlign w:val="center"/>
          </w:tcPr>
          <w:p w14:paraId="7E5E901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kb_search / load_skill</w:t>
            </w:r>
          </w:p>
        </w:tc>
        <w:tc>
          <w:tcPr>
            <w:tcW w:w="962" w:type="dxa"/>
            <w:vAlign w:val="center"/>
          </w:tcPr>
          <w:p w14:paraId="274E892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本地</w:t>
            </w:r>
          </w:p>
        </w:tc>
        <w:tc>
          <w:tcPr>
            <w:tcW w:w="3511" w:type="dxa"/>
            <w:vAlign w:val="center"/>
          </w:tcPr>
          <w:p w14:paraId="470B225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向量知识库检索、技能三层加载</w:t>
            </w:r>
          </w:p>
        </w:tc>
      </w:tr>
      <w:tr w14:paraId="477EAA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0CE9541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过程</w:t>
            </w:r>
          </w:p>
        </w:tc>
        <w:tc>
          <w:tcPr>
            <w:tcW w:w="3245" w:type="dxa"/>
            <w:vAlign w:val="center"/>
          </w:tcPr>
          <w:p w14:paraId="0B64E91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record_finding / submit_research_plan</w:t>
            </w:r>
          </w:p>
        </w:tc>
        <w:tc>
          <w:tcPr>
            <w:tcW w:w="962" w:type="dxa"/>
            <w:vAlign w:val="center"/>
          </w:tcPr>
          <w:p w14:paraId="6597B1E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本地</w:t>
            </w:r>
          </w:p>
        </w:tc>
        <w:tc>
          <w:tcPr>
            <w:tcW w:w="3511" w:type="dxa"/>
            <w:vAlign w:val="center"/>
          </w:tcPr>
          <w:p w14:paraId="47823BC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账本记账、研究计划提交</w:t>
            </w:r>
          </w:p>
        </w:tc>
      </w:tr>
      <w:tr w14:paraId="2920BF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7B681EC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图表</w:t>
            </w:r>
          </w:p>
        </w:tc>
        <w:tc>
          <w:tcPr>
            <w:tcW w:w="3245" w:type="dxa"/>
            <w:vAlign w:val="center"/>
          </w:tcPr>
          <w:p w14:paraId="61257C9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make_figure / plot_script / vision_analyze</w:t>
            </w:r>
          </w:p>
        </w:tc>
        <w:tc>
          <w:tcPr>
            <w:tcW w:w="962" w:type="dxa"/>
            <w:vAlign w:val="center"/>
          </w:tcPr>
          <w:p w14:paraId="4B29EA1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本地</w:t>
            </w:r>
          </w:p>
        </w:tc>
        <w:tc>
          <w:tcPr>
            <w:tcW w:w="3511" w:type="dxa"/>
            <w:vAlign w:val="center"/>
          </w:tcPr>
          <w:p w14:paraId="0F4EE823">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出版级出图、数据派生计算、图像视觉判读</w:t>
            </w:r>
          </w:p>
        </w:tc>
      </w:tr>
      <w:tr w14:paraId="15FC18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560" w:type="dxa"/>
            <w:vAlign w:val="center"/>
          </w:tcPr>
          <w:p w14:paraId="765EA72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论文</w:t>
            </w:r>
          </w:p>
        </w:tc>
        <w:tc>
          <w:tcPr>
            <w:tcW w:w="3245" w:type="dxa"/>
            <w:vAlign w:val="center"/>
          </w:tcPr>
          <w:p w14:paraId="1BDCCA6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write_manuscript / compile_latex / submit_paper / make_slides / compile_slides / submit_report</w:t>
            </w:r>
          </w:p>
        </w:tc>
        <w:tc>
          <w:tcPr>
            <w:tcW w:w="962" w:type="dxa"/>
            <w:vAlign w:val="center"/>
          </w:tcPr>
          <w:p w14:paraId="43125E7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本地</w:t>
            </w:r>
          </w:p>
        </w:tc>
        <w:tc>
          <w:tcPr>
            <w:tcW w:w="3511" w:type="dxa"/>
            <w:vAlign w:val="center"/>
          </w:tcPr>
          <w:p w14:paraId="20E2955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论文写作、编译、提交审稿、幻灯片、行为报告</w:t>
            </w:r>
          </w:p>
        </w:tc>
      </w:tr>
    </w:tbl>
    <w:p w14:paraId="303EF98F">
      <w:pPr>
        <w:pStyle w:val="3"/>
      </w:pPr>
      <w:bookmarkStart w:id="53" w:name="_Toc16841"/>
      <w:r>
        <w:t>B.4 规律发现服务关键参数</w:t>
      </w:r>
      <w:bookmarkEnd w:id="53"/>
    </w:p>
    <w:p w14:paraId="624906F0">
      <w:pPr>
        <w:spacing w:line="480" w:lineRule="exact"/>
        <w:ind w:firstLine="560" w:firstLineChars="200"/>
      </w:pPr>
      <w:r>
        <w:t>隶属度剔除阈值 0.6（与文献</w:t>
      </w:r>
      <w:r>
        <w:rPr>
          <w:sz w:val="18"/>
          <w:szCs w:val="18"/>
          <w:vertAlign w:val="superscript"/>
        </w:rPr>
        <w:t>[12]</w:t>
      </w:r>
      <w:r>
        <w:t xml:space="preserve">协议一致）；子域分辨率参数 </w:t>
      </w:r>
      <m:oMath>
        <m:sSub>
          <m:sSubPr/>
          <m:e>
            <m:r>
              <m:rPr/>
              <w:rPr>
                <w:sz w:val="24"/>
                <w:szCs w:val="24"/>
              </w:rPr>
              <m:t>r</m:t>
            </m:r>
          </m:e>
          <m:sub>
            <m:r>
              <m:rPr/>
              <w:rPr>
                <w:sz w:val="24"/>
                <w:szCs w:val="24"/>
              </w:rPr>
              <m:t>a</m:t>
            </m:r>
          </m:sub>
        </m:sSub>
      </m:oMath>
      <w:r>
        <w:t xml:space="preserve"> 默认 0.3（消融扫描 0.1–0.5，见 5.3 节）；指数扫描区间 [−2, 2]、步长 0.1，配合扫描回退协议；样本量少于 100 点时单域兜底，不少于 100 点时自动聚类。各子域拟合附带迭代残差清洗（协议与文献</w:t>
      </w:r>
      <w:r>
        <w:rPr>
          <w:sz w:val="18"/>
          <w:szCs w:val="18"/>
          <w:vertAlign w:val="superscript"/>
        </w:rPr>
        <w:t>[12]</w:t>
      </w:r>
      <w:r>
        <w:t>实现一致，按拟合残差剔除离群点、迭代至收敛），清洗排除数：基线动能两子域方案碰撞域 30 点、弹道域 11 点，单域对照方案 51 点——4.3 节的有效点数（278/106/465）即清洗后口径。</w:t>
      </w:r>
    </w:p>
    <w:p w14:paraId="2487CDAD">
      <w:pPr>
        <w:pStyle w:val="3"/>
      </w:pPr>
      <w:bookmarkStart w:id="54" w:name="_Toc27477"/>
      <w:r>
        <w:t>B.5 主要符号与结果口径</w:t>
      </w:r>
      <w:bookmarkEnd w:id="54"/>
    </w:p>
    <w:p w14:paraId="3C75055E">
      <w:pPr>
        <w:spacing w:line="480" w:lineRule="exact"/>
        <w:ind w:firstLine="560" w:firstLineChars="200"/>
      </w:pPr>
      <w:r>
        <w:t>正文与附录使用的全部符号、指标及其统计口径汇总于表 B.3，供评审逐数字核对时查阅。</w:t>
      </w:r>
    </w:p>
    <w:p w14:paraId="7B44F9A0">
      <w:pPr>
        <w:pStyle w:val="11"/>
        <w:keepNext/>
        <w:jc w:val="center"/>
      </w:pPr>
      <w:r>
        <w:t>表 B.3 主要符号与结果口径</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899"/>
        <w:gridCol w:w="3059"/>
        <w:gridCol w:w="4320"/>
      </w:tblGrid>
      <w:tr w14:paraId="22D154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899" w:type="dxa"/>
            <w:tcBorders>
              <w:bottom w:val="single" w:color="auto" w:sz="4" w:space="0"/>
            </w:tcBorders>
            <w:vAlign w:val="center"/>
          </w:tcPr>
          <w:p w14:paraId="53EAE4A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符号/术语</w:t>
            </w:r>
          </w:p>
        </w:tc>
        <w:tc>
          <w:tcPr>
            <w:tcW w:w="3059" w:type="dxa"/>
            <w:tcBorders>
              <w:bottom w:val="single" w:color="auto" w:sz="4" w:space="0"/>
            </w:tcBorders>
            <w:vAlign w:val="center"/>
          </w:tcPr>
          <w:p w14:paraId="3D6EA08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含义</w:t>
            </w:r>
          </w:p>
        </w:tc>
        <w:tc>
          <w:tcPr>
            <w:tcW w:w="4320" w:type="dxa"/>
            <w:tcBorders>
              <w:bottom w:val="single" w:color="auto" w:sz="4" w:space="0"/>
            </w:tcBorders>
            <w:vAlign w:val="center"/>
          </w:tcPr>
          <w:p w14:paraId="786BE4DA">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口径说明</w:t>
            </w:r>
          </w:p>
        </w:tc>
      </w:tr>
      <w:tr w14:paraId="782CD7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tcBorders>
              <w:top w:val="single" w:color="auto" w:sz="4" w:space="0"/>
            </w:tcBorders>
            <w:vAlign w:val="center"/>
          </w:tcPr>
          <w:p w14:paraId="7AA755A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Γ</w:t>
            </w:r>
          </w:p>
        </w:tc>
        <w:tc>
          <w:tcPr>
            <w:tcW w:w="3059" w:type="dxa"/>
            <w:tcBorders>
              <w:top w:val="single" w:color="auto" w:sz="4" w:space="0"/>
            </w:tcBorders>
            <w:vAlign w:val="center"/>
          </w:tcPr>
          <w:p w14:paraId="5A4BA3E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振动强度</w:t>
            </w:r>
          </w:p>
        </w:tc>
        <w:tc>
          <w:tcPr>
            <w:tcW w:w="4320" w:type="dxa"/>
            <w:tcBorders>
              <w:top w:val="single" w:color="auto" w:sz="4" w:space="0"/>
            </w:tcBorders>
            <w:vAlign w:val="center"/>
          </w:tcPr>
          <w:p w14:paraId="68AEBAC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Γ=aω²/g，底板最大加速度与重力加速度之比</w:t>
            </w:r>
          </w:p>
        </w:tc>
      </w:tr>
      <w:tr w14:paraId="2B9EB1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076B7D7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a/d</w:t>
            </w:r>
          </w:p>
        </w:tc>
        <w:tc>
          <w:tcPr>
            <w:tcW w:w="3059" w:type="dxa"/>
            <w:vAlign w:val="center"/>
          </w:tcPr>
          <w:p w14:paraId="5E584460">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无量纲振幅</w:t>
            </w:r>
          </w:p>
        </w:tc>
        <w:tc>
          <w:tcPr>
            <w:tcW w:w="4320" w:type="dxa"/>
            <w:vAlign w:val="center"/>
          </w:tcPr>
          <w:p w14:paraId="788A15E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振幅与粒径之比（基线运行粒径 2 mm，见 B.1）</w:t>
            </w:r>
          </w:p>
        </w:tc>
      </w:tr>
      <w:tr w14:paraId="1BF4CE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61BFB19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F</w:t>
            </w:r>
          </w:p>
        </w:tc>
        <w:tc>
          <w:tcPr>
            <w:tcW w:w="3059" w:type="dxa"/>
            <w:vAlign w:val="center"/>
          </w:tcPr>
          <w:p w14:paraId="69A7BC5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名义颗粒层数</w:t>
            </w:r>
          </w:p>
        </w:tc>
        <w:tc>
          <w:tcPr>
            <w:tcW w:w="4320" w:type="dxa"/>
            <w:vAlign w:val="center"/>
          </w:tcPr>
          <w:p w14:paraId="5F7D3A8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设计口径 n=F·round(L/d)；沉降后实际颗粒数 106/231/502（见 2.5、B.2）</w:t>
            </w:r>
          </w:p>
        </w:tc>
      </w:tr>
      <w:tr w14:paraId="658D9A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66C9832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eₖ*</w:t>
            </w:r>
          </w:p>
        </w:tc>
        <w:tc>
          <w:tcPr>
            <w:tcW w:w="3059" w:type="dxa"/>
            <w:vAlign w:val="center"/>
          </w:tcPr>
          <w:p w14:paraId="51711FA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无量纲平均动能</w:t>
            </w:r>
          </w:p>
        </w:tc>
        <w:tc>
          <w:tcPr>
            <w:tcW w:w="4320" w:type="dxa"/>
            <w:vAlign w:val="center"/>
          </w:tcPr>
          <w:p w14:paraId="7CD5334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⟨v²⟩/(2gd)，统计段逐帧时间平均（见 2.6）</w:t>
            </w:r>
          </w:p>
        </w:tc>
      </w:tr>
      <w:tr w14:paraId="44DBAD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712A3FD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eₚ*</w:t>
            </w:r>
          </w:p>
        </w:tc>
        <w:tc>
          <w:tcPr>
            <w:tcW w:w="3059" w:type="dxa"/>
            <w:vAlign w:val="center"/>
          </w:tcPr>
          <w:p w14:paraId="0F4139D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无量纲平均离底高度</w:t>
            </w:r>
          </w:p>
        </w:tc>
        <w:tc>
          <w:tcPr>
            <w:tcW w:w="4320" w:type="dxa"/>
            <w:vAlign w:val="center"/>
          </w:tcPr>
          <w:p w14:paraId="2DBADF7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移动参考（逐帧最低颗粒），逐帧时间平均后除以 d（见 2.6）</w:t>
            </w:r>
          </w:p>
        </w:tc>
      </w:tr>
      <w:tr w14:paraId="178782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54E55945">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hₘ*</w:t>
            </w:r>
          </w:p>
        </w:tc>
        <w:tc>
          <w:tcPr>
            <w:tcW w:w="3059" w:type="dxa"/>
            <w:vAlign w:val="center"/>
          </w:tcPr>
          <w:p w14:paraId="10D5E803">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无量纲质心高度</w:t>
            </w:r>
          </w:p>
        </w:tc>
        <w:tc>
          <w:tcPr>
            <w:tcW w:w="4320" w:type="dxa"/>
            <w:vAlign w:val="center"/>
          </w:tcPr>
          <w:p w14:paraId="6F09650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固定参考下质心高度除以 d，含整体平移（见 2.6）</w:t>
            </w:r>
          </w:p>
        </w:tc>
      </w:tr>
      <w:tr w14:paraId="134D74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502746C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T_y*</w:t>
            </w:r>
          </w:p>
        </w:tc>
        <w:tc>
          <w:tcPr>
            <w:tcW w:w="3059" w:type="dxa"/>
            <w:vAlign w:val="center"/>
          </w:tcPr>
          <w:p w14:paraId="249559F3">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纵向颗粒温度</w:t>
            </w:r>
          </w:p>
        </w:tc>
        <w:tc>
          <w:tcPr>
            <w:tcW w:w="4320" w:type="dxa"/>
            <w:vAlign w:val="center"/>
          </w:tcPr>
          <w:p w14:paraId="053B5E72">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2d 胞元竖向脉动速度方差除以 gd（见 2.6）</w:t>
            </w:r>
          </w:p>
        </w:tc>
      </w:tr>
      <w:tr w14:paraId="3DF9DB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5498E8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R</w:t>
            </w:r>
          </w:p>
        </w:tc>
        <w:tc>
          <w:tcPr>
            <w:tcW w:w="3059" w:type="dxa"/>
            <w:vAlign w:val="center"/>
          </w:tcPr>
          <w:p w14:paraId="1BDE46D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能量分配比</w:t>
            </w:r>
          </w:p>
        </w:tc>
        <w:tc>
          <w:tcPr>
            <w:tcW w:w="4320" w:type="dxa"/>
            <w:vAlign w:val="center"/>
          </w:tcPr>
          <w:p w14:paraId="36AC9AE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eₚ*/(eₖ*+eₚ*)，两类已定义量之比（见 2.6）</w:t>
            </w:r>
          </w:p>
        </w:tc>
      </w:tr>
      <w:tr w14:paraId="0873C9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08414AF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δ_k、δ*</w:t>
            </w:r>
          </w:p>
        </w:tc>
        <w:tc>
          <w:tcPr>
            <w:tcW w:w="3059" w:type="dxa"/>
            <w:vAlign w:val="center"/>
          </w:tcPr>
          <w:p w14:paraId="13E6A88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子域误差、全局综合误差</w:t>
            </w:r>
          </w:p>
        </w:tc>
        <w:tc>
          <w:tcPr>
            <w:tcW w:w="4320" w:type="dxa"/>
            <w:vAlign w:val="center"/>
          </w:tcPr>
          <w:p w14:paraId="70C480F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平均绝对相对误差；δ* 按子域样本数加权（式(4)），仅在有效点上计算</w:t>
            </w:r>
          </w:p>
        </w:tc>
      </w:tr>
      <w:tr w14:paraId="7B8C52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6648FCF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模糊点</w:t>
            </w:r>
          </w:p>
        </w:tc>
        <w:tc>
          <w:tcPr>
            <w:tcW w:w="3059" w:type="dxa"/>
            <w:vAlign w:val="center"/>
          </w:tcPr>
          <w:p w14:paraId="2D0F10D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隶属度低于 0.6 的样本</w:t>
            </w:r>
          </w:p>
        </w:tc>
        <w:tc>
          <w:tcPr>
            <w:tcW w:w="4320" w:type="dxa"/>
            <w:vAlign w:val="center"/>
          </w:tcPr>
          <w:p w14:paraId="33162A0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不参与拟合；基线动能方案 91 点</w:t>
            </w:r>
          </w:p>
        </w:tc>
      </w:tr>
      <w:tr w14:paraId="798A75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54F6E14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有效点</w:t>
            </w:r>
          </w:p>
        </w:tc>
        <w:tc>
          <w:tcPr>
            <w:tcW w:w="3059" w:type="dxa"/>
            <w:vAlign w:val="center"/>
          </w:tcPr>
          <w:p w14:paraId="75F0E55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模糊剔除与迭代残差清洗后的样本</w:t>
            </w:r>
          </w:p>
        </w:tc>
        <w:tc>
          <w:tcPr>
            <w:tcW w:w="4320" w:type="dxa"/>
            <w:vAlign w:val="center"/>
          </w:tcPr>
          <w:p w14:paraId="2E11C03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基线动能两子域共 384 点、单域对照 465 点（见 4.3、表 5.3）</w:t>
            </w:r>
          </w:p>
        </w:tc>
      </w:tr>
      <w:tr w14:paraId="16AFE8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0605B1E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MAPE</w:t>
            </w:r>
          </w:p>
        </w:tc>
        <w:tc>
          <w:tcPr>
            <w:tcW w:w="3059" w:type="dxa"/>
            <w:vAlign w:val="center"/>
          </w:tcPr>
          <w:p w14:paraId="361B018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平均绝对百分比误差</w:t>
            </w:r>
          </w:p>
        </w:tc>
        <w:tc>
          <w:tcPr>
            <w:tcW w:w="4320" w:type="dxa"/>
            <w:vAlign w:val="center"/>
          </w:tcPr>
          <w:p w14:paraId="0E4862F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留出点上预测误差绝对值与实测值之比的均值；基线 16.5% 为第一轮冻结模型 6 点口径（见 4.4）</w:t>
            </w:r>
          </w:p>
        </w:tc>
      </w:tr>
      <w:tr w14:paraId="1EA176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422A2AC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rₐ</w:t>
            </w:r>
          </w:p>
        </w:tc>
        <w:tc>
          <w:tcPr>
            <w:tcW w:w="3059" w:type="dxa"/>
            <w:vAlign w:val="center"/>
          </w:tcPr>
          <w:p w14:paraId="28A0B9C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减法聚类半径参数</w:t>
            </w:r>
          </w:p>
        </w:tc>
        <w:tc>
          <w:tcPr>
            <w:tcW w:w="4320" w:type="dxa"/>
            <w:vAlign w:val="center"/>
          </w:tcPr>
          <w:p w14:paraId="607DD8C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控制分区分辨率（见 B.4、5.3）</w:t>
            </w:r>
          </w:p>
        </w:tc>
      </w:tr>
      <w:tr w14:paraId="215B39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38720D6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无出处数值</w:t>
            </w:r>
          </w:p>
        </w:tc>
        <w:tc>
          <w:tcPr>
            <w:tcW w:w="3059" w:type="dxa"/>
            <w:vAlign w:val="center"/>
          </w:tcPr>
          <w:p w14:paraId="2FA709D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论文中无法溯源到工具记录的小数个数</w:t>
            </w:r>
          </w:p>
        </w:tc>
        <w:tc>
          <w:tcPr>
            <w:tcW w:w="4320" w:type="dxa"/>
            <w:vAlign w:val="center"/>
          </w:tcPr>
          <w:p w14:paraId="26C3BB3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数值审计机械提取（见附录D）</w:t>
            </w:r>
          </w:p>
        </w:tc>
      </w:tr>
      <w:tr w14:paraId="59487C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899" w:type="dxa"/>
            <w:vAlign w:val="center"/>
          </w:tcPr>
          <w:p w14:paraId="4D3FABB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引文问题</w:t>
            </w:r>
          </w:p>
        </w:tc>
        <w:tc>
          <w:tcPr>
            <w:tcW w:w="3059" w:type="dxa"/>
            <w:vAlign w:val="center"/>
          </w:tcPr>
          <w:p w14:paraId="37A7B24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存在缺陷的参考文献条数</w:t>
            </w:r>
          </w:p>
        </w:tc>
        <w:tc>
          <w:tcPr>
            <w:tcW w:w="4320" w:type="dxa"/>
            <w:vAlign w:val="center"/>
          </w:tcPr>
          <w:p w14:paraId="6D948B2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按未检索验证、出版信息错误、占位条目分类计数（见表 5.6）</w:t>
            </w:r>
          </w:p>
        </w:tc>
      </w:tr>
    </w:tbl>
    <w:p w14:paraId="39386B49">
      <w:pPr>
        <w:pStyle w:val="3"/>
      </w:pPr>
      <w:bookmarkStart w:id="55" w:name="_Toc14772"/>
      <w:r>
        <w:t>B.6 模型与运行记录</w:t>
      </w:r>
      <w:bookmarkEnd w:id="55"/>
    </w:p>
    <w:p w14:paraId="00A63585">
      <w:pPr>
        <w:spacing w:line="480" w:lineRule="exact"/>
        <w:ind w:firstLine="560" w:firstLineChars="200"/>
      </w:pPr>
      <w:r>
        <w:t>各配置运行实际使用的模型及运行日期见表 B.4。模型名为推理网关返回的标识；逐调用记录（时间戳、用量、用途、重试次数）保存于各运行目录的调用用量日志中，可按附录A 的目录索引核验。gpt-5.6-sol 经本地 OpenAI 兼容网关路由，其余模型经主推理服务接入；盲评评分模型（Qwen3.8-Max）独立于各运行（5.5 节）。</w:t>
      </w:r>
    </w:p>
    <w:p w14:paraId="5E44C895">
      <w:pPr>
        <w:pStyle w:val="11"/>
        <w:keepNext/>
        <w:jc w:val="center"/>
      </w:pPr>
      <w:r>
        <w:t>表 B.4 各配置的模型与运行记录（从各运行目录的配置与逐调用用量记录机械提取）</w:t>
      </w:r>
    </w:p>
    <w:tbl>
      <w:tblPr>
        <w:tblStyle w:val="19"/>
        <w:tblW w:w="827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663"/>
        <w:gridCol w:w="1062"/>
        <w:gridCol w:w="1731"/>
        <w:gridCol w:w="1103"/>
        <w:gridCol w:w="1212"/>
        <w:gridCol w:w="1507"/>
      </w:tblGrid>
      <w:tr w14:paraId="62B3E3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663" w:type="dxa"/>
            <w:tcBorders>
              <w:bottom w:val="single" w:color="auto" w:sz="4" w:space="0"/>
            </w:tcBorders>
            <w:vAlign w:val="center"/>
          </w:tcPr>
          <w:p w14:paraId="085D6E7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配置</w:t>
            </w:r>
          </w:p>
        </w:tc>
        <w:tc>
          <w:tcPr>
            <w:tcW w:w="1062" w:type="dxa"/>
            <w:tcBorders>
              <w:bottom w:val="single" w:color="auto" w:sz="4" w:space="0"/>
            </w:tcBorders>
            <w:vAlign w:val="center"/>
          </w:tcPr>
          <w:p w14:paraId="0C5F76C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运行日期（2026）</w:t>
            </w:r>
          </w:p>
        </w:tc>
        <w:tc>
          <w:tcPr>
            <w:tcW w:w="1731" w:type="dxa"/>
            <w:tcBorders>
              <w:bottom w:val="single" w:color="auto" w:sz="4" w:space="0"/>
            </w:tcBorders>
            <w:vAlign w:val="center"/>
          </w:tcPr>
          <w:p w14:paraId="1E6EB39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研究模型（调用数）</w:t>
            </w:r>
          </w:p>
        </w:tc>
        <w:tc>
          <w:tcPr>
            <w:tcW w:w="1103" w:type="dxa"/>
            <w:tcBorders>
              <w:bottom w:val="single" w:color="auto" w:sz="4" w:space="0"/>
            </w:tcBorders>
            <w:vAlign w:val="center"/>
          </w:tcPr>
          <w:p w14:paraId="25DF77E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审稿</w:t>
            </w:r>
          </w:p>
        </w:tc>
        <w:tc>
          <w:tcPr>
            <w:tcW w:w="1212" w:type="dxa"/>
            <w:tcBorders>
              <w:bottom w:val="single" w:color="auto" w:sz="4" w:space="0"/>
            </w:tcBorders>
            <w:vAlign w:val="center"/>
          </w:tcPr>
          <w:p w14:paraId="16E3385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视觉（调用数）</w:t>
            </w:r>
          </w:p>
        </w:tc>
        <w:tc>
          <w:tcPr>
            <w:tcW w:w="1507" w:type="dxa"/>
            <w:tcBorders>
              <w:bottom w:val="single" w:color="auto" w:sz="4" w:space="0"/>
            </w:tcBorders>
            <w:vAlign w:val="center"/>
          </w:tcPr>
          <w:p w14:paraId="7C7ECD2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b/>
                <w:sz w:val="21"/>
                <w:szCs w:val="21"/>
              </w:rPr>
              <w:t>嵌入（调用数）</w:t>
            </w:r>
          </w:p>
        </w:tc>
      </w:tr>
      <w:tr w14:paraId="617EC4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tcBorders>
              <w:top w:val="single" w:color="auto" w:sz="4" w:space="0"/>
            </w:tcBorders>
            <w:vAlign w:val="center"/>
          </w:tcPr>
          <w:p w14:paraId="1F874812">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基线（全量）</w:t>
            </w:r>
          </w:p>
        </w:tc>
        <w:tc>
          <w:tcPr>
            <w:tcW w:w="1062" w:type="dxa"/>
            <w:tcBorders>
              <w:top w:val="single" w:color="auto" w:sz="4" w:space="0"/>
            </w:tcBorders>
            <w:vAlign w:val="center"/>
          </w:tcPr>
          <w:p w14:paraId="40256DF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09-02</w:t>
            </w:r>
          </w:p>
        </w:tc>
        <w:tc>
          <w:tcPr>
            <w:tcW w:w="1731" w:type="dxa"/>
            <w:tcBorders>
              <w:top w:val="single" w:color="auto" w:sz="4" w:space="0"/>
            </w:tcBorders>
            <w:vAlign w:val="center"/>
          </w:tcPr>
          <w:p w14:paraId="551CDBA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GLM-5.3（221）</w:t>
            </w:r>
          </w:p>
        </w:tc>
        <w:tc>
          <w:tcPr>
            <w:tcW w:w="1103" w:type="dxa"/>
            <w:tcBorders>
              <w:top w:val="single" w:color="auto" w:sz="4" w:space="0"/>
            </w:tcBorders>
            <w:vAlign w:val="center"/>
          </w:tcPr>
          <w:p w14:paraId="7C20378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tcBorders>
              <w:top w:val="single" w:color="auto" w:sz="4" w:space="0"/>
            </w:tcBorders>
            <w:vAlign w:val="center"/>
          </w:tcPr>
          <w:p w14:paraId="2BB1345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Qwen3.8-Max（22）</w:t>
            </w:r>
          </w:p>
        </w:tc>
        <w:tc>
          <w:tcPr>
            <w:tcW w:w="1507" w:type="dxa"/>
            <w:tcBorders>
              <w:top w:val="single" w:color="auto" w:sz="4" w:space="0"/>
            </w:tcBorders>
            <w:vAlign w:val="center"/>
          </w:tcPr>
          <w:p w14:paraId="6D4BE4B0">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GLM-Embedding-3（5）</w:t>
            </w:r>
          </w:p>
        </w:tc>
      </w:tr>
      <w:tr w14:paraId="762FD9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7C9DB1B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禁用文献检索</w:t>
            </w:r>
          </w:p>
        </w:tc>
        <w:tc>
          <w:tcPr>
            <w:tcW w:w="1062" w:type="dxa"/>
            <w:vAlign w:val="center"/>
          </w:tcPr>
          <w:p w14:paraId="0D358B9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w:t>
            </w:r>
          </w:p>
        </w:tc>
        <w:tc>
          <w:tcPr>
            <w:tcW w:w="1731" w:type="dxa"/>
            <w:vAlign w:val="center"/>
          </w:tcPr>
          <w:p w14:paraId="71FCBD8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GLM-5.3（125）</w:t>
            </w:r>
          </w:p>
        </w:tc>
        <w:tc>
          <w:tcPr>
            <w:tcW w:w="1103" w:type="dxa"/>
            <w:vAlign w:val="center"/>
          </w:tcPr>
          <w:p w14:paraId="5A6512F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50AD38E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Qwen3.8-Max（28）</w:t>
            </w:r>
          </w:p>
        </w:tc>
        <w:tc>
          <w:tcPr>
            <w:tcW w:w="1507" w:type="dxa"/>
            <w:vAlign w:val="center"/>
          </w:tcPr>
          <w:p w14:paraId="26F367E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GLM-Embedding-3（18）</w:t>
            </w:r>
          </w:p>
        </w:tc>
      </w:tr>
      <w:tr w14:paraId="0A720C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382CFA1C">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关闭审稿门</w:t>
            </w:r>
          </w:p>
        </w:tc>
        <w:tc>
          <w:tcPr>
            <w:tcW w:w="1062" w:type="dxa"/>
            <w:vAlign w:val="center"/>
          </w:tcPr>
          <w:p w14:paraId="34D4F39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w:t>
            </w:r>
          </w:p>
        </w:tc>
        <w:tc>
          <w:tcPr>
            <w:tcW w:w="1731" w:type="dxa"/>
            <w:vAlign w:val="center"/>
          </w:tcPr>
          <w:p w14:paraId="7638326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GLM-5.3（208）</w:t>
            </w:r>
          </w:p>
        </w:tc>
        <w:tc>
          <w:tcPr>
            <w:tcW w:w="1103" w:type="dxa"/>
            <w:vAlign w:val="center"/>
          </w:tcPr>
          <w:p w14:paraId="1E7EC17A">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—（审稿门关闭）</w:t>
            </w:r>
          </w:p>
        </w:tc>
        <w:tc>
          <w:tcPr>
            <w:tcW w:w="1212" w:type="dxa"/>
            <w:vAlign w:val="center"/>
          </w:tcPr>
          <w:p w14:paraId="5D8CA9F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Qwen3.8-Max（3）</w:t>
            </w:r>
          </w:p>
        </w:tc>
        <w:tc>
          <w:tcPr>
            <w:tcW w:w="1507" w:type="dxa"/>
            <w:vAlign w:val="center"/>
          </w:tcPr>
          <w:p w14:paraId="559FBCAF">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GLM-Embedding-3（9）</w:t>
            </w:r>
          </w:p>
        </w:tc>
      </w:tr>
      <w:tr w14:paraId="1E8086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69743AA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剥离机制调查引导</w:t>
            </w:r>
          </w:p>
        </w:tc>
        <w:tc>
          <w:tcPr>
            <w:tcW w:w="1062" w:type="dxa"/>
            <w:vAlign w:val="center"/>
          </w:tcPr>
          <w:p w14:paraId="65686C7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w:t>
            </w:r>
          </w:p>
        </w:tc>
        <w:tc>
          <w:tcPr>
            <w:tcW w:w="1731" w:type="dxa"/>
            <w:vAlign w:val="center"/>
          </w:tcPr>
          <w:p w14:paraId="736DD91C">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GLM-5.3（144）</w:t>
            </w:r>
          </w:p>
        </w:tc>
        <w:tc>
          <w:tcPr>
            <w:tcW w:w="1103" w:type="dxa"/>
            <w:vAlign w:val="center"/>
          </w:tcPr>
          <w:p w14:paraId="3938381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618791E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Qwen3.8-Max（30）</w:t>
            </w:r>
          </w:p>
        </w:tc>
        <w:tc>
          <w:tcPr>
            <w:tcW w:w="1507" w:type="dxa"/>
            <w:vAlign w:val="center"/>
          </w:tcPr>
          <w:p w14:paraId="770CE1A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GLM-Embedding-3（7）</w:t>
            </w:r>
          </w:p>
        </w:tc>
      </w:tr>
      <w:tr w14:paraId="267707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6608023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盲知识库</w:t>
            </w:r>
          </w:p>
        </w:tc>
        <w:tc>
          <w:tcPr>
            <w:tcW w:w="1062" w:type="dxa"/>
            <w:vAlign w:val="center"/>
          </w:tcPr>
          <w:p w14:paraId="20CC6B41">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w:t>
            </w:r>
          </w:p>
        </w:tc>
        <w:tc>
          <w:tcPr>
            <w:tcW w:w="1731" w:type="dxa"/>
            <w:vAlign w:val="center"/>
          </w:tcPr>
          <w:p w14:paraId="01E91D7B">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GLM-5.3（265）</w:t>
            </w:r>
          </w:p>
        </w:tc>
        <w:tc>
          <w:tcPr>
            <w:tcW w:w="1103" w:type="dxa"/>
            <w:vAlign w:val="center"/>
          </w:tcPr>
          <w:p w14:paraId="1EFE60F3">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35248644">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Qwen3.8-Max（27）</w:t>
            </w:r>
          </w:p>
        </w:tc>
        <w:tc>
          <w:tcPr>
            <w:tcW w:w="1507" w:type="dxa"/>
            <w:vAlign w:val="center"/>
          </w:tcPr>
          <w:p w14:paraId="413FEB6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GLM-Embedding-3（2）</w:t>
            </w:r>
          </w:p>
        </w:tc>
      </w:tr>
      <w:tr w14:paraId="47FFA4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5CBB355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知识供给归零</w:t>
            </w:r>
          </w:p>
        </w:tc>
        <w:tc>
          <w:tcPr>
            <w:tcW w:w="1062" w:type="dxa"/>
            <w:vAlign w:val="center"/>
          </w:tcPr>
          <w:p w14:paraId="285C3B6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w:t>
            </w:r>
          </w:p>
        </w:tc>
        <w:tc>
          <w:tcPr>
            <w:tcW w:w="1731" w:type="dxa"/>
            <w:vAlign w:val="center"/>
          </w:tcPr>
          <w:p w14:paraId="19C88775">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GLM-5.3（186）</w:t>
            </w:r>
          </w:p>
        </w:tc>
        <w:tc>
          <w:tcPr>
            <w:tcW w:w="1103" w:type="dxa"/>
            <w:vAlign w:val="center"/>
          </w:tcPr>
          <w:p w14:paraId="3742F2D3">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6C2AE83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Qwen3.8-Max（17）</w:t>
            </w:r>
          </w:p>
        </w:tc>
        <w:tc>
          <w:tcPr>
            <w:tcW w:w="1507" w:type="dxa"/>
            <w:vAlign w:val="center"/>
          </w:tcPr>
          <w:p w14:paraId="5BC078F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GLM-Embedding-3（6）</w:t>
            </w:r>
          </w:p>
        </w:tc>
      </w:tr>
      <w:tr w14:paraId="771246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2686219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国产低档基座</w:t>
            </w:r>
          </w:p>
        </w:tc>
        <w:tc>
          <w:tcPr>
            <w:tcW w:w="1062" w:type="dxa"/>
            <w:vAlign w:val="center"/>
          </w:tcPr>
          <w:p w14:paraId="39E2E582">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09-03~09-04</w:t>
            </w:r>
          </w:p>
        </w:tc>
        <w:tc>
          <w:tcPr>
            <w:tcW w:w="1731" w:type="dxa"/>
            <w:vAlign w:val="center"/>
          </w:tcPr>
          <w:p w14:paraId="229C159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DeepSeek-V4-Flash（202）</w:t>
            </w:r>
          </w:p>
        </w:tc>
        <w:tc>
          <w:tcPr>
            <w:tcW w:w="1103" w:type="dxa"/>
            <w:vAlign w:val="center"/>
          </w:tcPr>
          <w:p w14:paraId="3C09064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731932B9">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Qwen3.8-Max（11）</w:t>
            </w:r>
          </w:p>
        </w:tc>
        <w:tc>
          <w:tcPr>
            <w:tcW w:w="1507" w:type="dxa"/>
            <w:vAlign w:val="center"/>
          </w:tcPr>
          <w:p w14:paraId="5A91CC6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GLM-Embedding-3（21）</w:t>
            </w:r>
          </w:p>
        </w:tc>
      </w:tr>
      <w:tr w14:paraId="1854F5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63" w:type="dxa"/>
            <w:vAlign w:val="center"/>
          </w:tcPr>
          <w:p w14:paraId="623D3EB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sz w:val="21"/>
                <w:szCs w:val="21"/>
              </w:rPr>
              <w:t>国外高档基座（干净重跑版）</w:t>
            </w:r>
          </w:p>
        </w:tc>
        <w:tc>
          <w:tcPr>
            <w:tcW w:w="1062" w:type="dxa"/>
            <w:vAlign w:val="center"/>
          </w:tcPr>
          <w:p w14:paraId="7C5A0F77">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09-04</w:t>
            </w:r>
          </w:p>
        </w:tc>
        <w:tc>
          <w:tcPr>
            <w:tcW w:w="1731" w:type="dxa"/>
            <w:vAlign w:val="center"/>
          </w:tcPr>
          <w:p w14:paraId="0B24CB0E">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gpt-5.6-sol（111）</w:t>
            </w:r>
          </w:p>
        </w:tc>
        <w:tc>
          <w:tcPr>
            <w:tcW w:w="1103" w:type="dxa"/>
            <w:vAlign w:val="center"/>
          </w:tcPr>
          <w:p w14:paraId="2ECACFB6">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DeepSeek-V4-Pro</w:t>
            </w:r>
          </w:p>
        </w:tc>
        <w:tc>
          <w:tcPr>
            <w:tcW w:w="1212" w:type="dxa"/>
            <w:vAlign w:val="center"/>
          </w:tcPr>
          <w:p w14:paraId="7F1821DD">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Qwen3.8-Max（9）</w:t>
            </w:r>
          </w:p>
        </w:tc>
        <w:tc>
          <w:tcPr>
            <w:tcW w:w="1507" w:type="dxa"/>
            <w:vAlign w:val="center"/>
          </w:tcPr>
          <w:p w14:paraId="2BF0DE38">
            <w:pPr>
              <w:keepNext w:val="0"/>
              <w:keepLines w:val="0"/>
              <w:pageBreakBefore w:val="0"/>
              <w:widowControl w:val="0"/>
              <w:kinsoku/>
              <w:wordWrap/>
              <w:overflowPunct/>
              <w:topLinePunct w:val="0"/>
              <w:autoSpaceDE/>
              <w:autoSpaceDN/>
              <w:bidi w:val="0"/>
              <w:adjustRightInd/>
              <w:snapToGrid/>
              <w:spacing w:line="240" w:lineRule="auto"/>
              <w:textAlignment w:val="auto"/>
            </w:pPr>
            <w:r>
              <w:rPr>
                <w:sz w:val="21"/>
                <w:szCs w:val="21"/>
              </w:rPr>
              <w:t>GLM-Embedding-3（3）</w:t>
            </w:r>
          </w:p>
        </w:tc>
      </w:tr>
    </w:tbl>
    <w:p w14:paraId="626BAB0D">
      <w:pPr>
        <w:pStyle w:val="2"/>
        <w:sectPr>
          <w:pgSz w:w="11906" w:h="16838"/>
          <w:pgMar w:top="1440" w:right="1800" w:bottom="1440" w:left="1800" w:header="851" w:footer="992" w:gutter="0"/>
          <w:cols w:space="425" w:num="1"/>
          <w:docGrid w:type="lines" w:linePitch="312" w:charSpace="0"/>
        </w:sectPr>
      </w:pPr>
      <w:bookmarkStart w:id="56" w:name="_Toc7362"/>
    </w:p>
    <w:p w14:paraId="59456069">
      <w:pPr>
        <w:pStyle w:val="2"/>
      </w:pPr>
      <w:r>
        <w:t>附录C 典型案例输出（基线运行关键环节摘录）</w:t>
      </w:r>
      <w:bookmarkEnd w:id="56"/>
    </w:p>
    <w:p w14:paraId="3CFD5DCB">
      <w:pPr>
        <w:spacing w:line="480" w:lineRule="exact"/>
        <w:ind w:firstLine="560" w:firstLineChars="200"/>
      </w:pPr>
      <w:r>
        <w:t>以下摘录均来自基线运行的过程记录原文，用于呈现智能体的真实行为方式，文字未作修改。（编者注：摘录中出现的工况颗粒数 106/231 等为插入—沉降后的实际计数，与设计名义值 200/400/800 的对应关系见附录B.2。）</w:t>
      </w:r>
    </w:p>
    <w:p w14:paraId="5EA9434E">
      <w:pPr>
        <w:spacing w:line="480" w:lineRule="exact"/>
        <w:ind w:firstLine="562" w:firstLineChars="200"/>
      </w:pPr>
      <w:r>
        <w:rPr>
          <w:b/>
        </w:rPr>
        <w:t>C.1 缺口挖掘（账本第 1 条，缺口结论节选）</w:t>
      </w:r>
      <w:r>
        <w:t>：本方向博士论文已用 DDDA 研究干振动颗粒体系 E_k*、T_y*、h_m* 三个单响应的分区标度律（675 工况），但每个响应独立区划，且对 h_m* 分区与能量分区不一致的原因明确"不深入探究"；势能/离底高度 ep* 未做标度分析；动能—势能联合标度与能量分配无人做。……查新：无先例。</w:t>
      </w:r>
    </w:p>
    <w:p w14:paraId="6ADE875D">
      <w:pPr>
        <w:spacing w:line="480" w:lineRule="exact"/>
        <w:ind w:firstLine="562" w:firstLineChars="200"/>
      </w:pPr>
      <w:r>
        <w:rPr>
          <w:b/>
        </w:rPr>
        <w:t>C.2 研究计划（计划节选）</w:t>
      </w:r>
      <w:r>
        <w:t>：候选 A（推荐）：e_k*–ep* 联合标度律与能量分配的自动分区刻画……可证伪性：若 DDDA 聚类对 ep* 或 e_k* 无法得到稳定子域（两轮数据子域划分不一致），或联合标度不优于单响应标度，假设被证伪。可行性边界（诚实声明）：恢复系数、摩擦系数等材料参数不可调……相态的独立"真值"标签只有快照视觉判读+场诊断（无实验）。</w:t>
      </w:r>
    </w:p>
    <w:p w14:paraId="72BF2F7A">
      <w:pPr>
        <w:spacing w:line="480" w:lineRule="exact"/>
        <w:ind w:firstLine="562" w:firstLineChars="200"/>
      </w:pPr>
      <w:r>
        <w:rPr>
          <w:b/>
        </w:rPr>
        <w:t>C.3 第一轮审稿意见（驳回，节选）</w:t>
      </w:r>
      <w:r>
        <w:t>：严重问题：F=8 diagnostic data mismatch: Figs. 21(c) and 22 are built from case_id 43 in job_20260902_124215. The tool records show case 43 contains n_particles=106, i.e. F=4, not F=8. …（R 留出点方向与模型预测相反）。</w:t>
      </w:r>
    </w:p>
    <w:p w14:paraId="6EB814C6">
      <w:pPr>
        <w:spacing w:line="480" w:lineRule="exact"/>
        <w:ind w:firstLine="562" w:firstLineChars="200"/>
      </w:pPr>
      <w:r>
        <w:rPr>
          <w:b/>
        </w:rPr>
        <w:t>C.4 智能体对审稿意见的响应（消息史节选）</w:t>
      </w:r>
      <w:r>
        <w:t>：审稿抓到两个实质问题：(1) case 43 按 F-major 排序实际是 F=4（n_particles=106 与工具返回一致，我当时的索引心算错误）——需要真正的 F=8 工况证据；(2) R 留出点在 Γ=4→15 是下降的，与模型上升相反。→（重新取数）F=8 数据到手（快照 231 颗粒、时均场）。立即重制图并判读，然后修订论文。→ F=8 证据修复完成且结论保持：case 44（231 颗粒）快照与 F=4 case 43 形态一致——底部气隙+悬浮浓层+顶部羽流——Leidenfrost 型结构在 F=8 仍成立。</w:t>
      </w:r>
    </w:p>
    <w:p w14:paraId="60BF57DC">
      <w:pPr>
        <w:spacing w:line="480" w:lineRule="exact"/>
        <w:ind w:firstLine="562" w:firstLineChars="200"/>
      </w:pPr>
      <w:r>
        <w:rPr>
          <w:b/>
        </w:rPr>
        <w:t>C.5 行为报告（自述节选）</w:t>
      </w:r>
      <w:r>
        <w:t>：研究意图……最终产出状态：论文通过审稿（REVTeX 4.2 / PRE 格式，6 页，6 图，10 篇引用）……两轮仿真 + 1 次补跑共 517 工况（516 唯一参数点），零失败。……审稿记录：第一轮驳回，4 项问题（F=8 数据归属错误、R 方向不一致、弹道表述过强、指数偏差示例失实）。全部修正：换 case 44 重做诊断图（结论维持）、R 改成对比较并撤回单调声明、弹道论证改为"a/d 指数+速度证据"双支点、0.095 如实写。第二轮：通过。</w:t>
      </w:r>
    </w:p>
    <w:p w14:paraId="61DF72A8">
      <w:pPr>
        <w:pStyle w:val="2"/>
        <w:sectPr>
          <w:pgSz w:w="11906" w:h="16838"/>
          <w:pgMar w:top="1440" w:right="1800" w:bottom="1440" w:left="1800" w:header="851" w:footer="992" w:gutter="0"/>
          <w:cols w:space="425" w:num="1"/>
          <w:docGrid w:type="lines" w:linePitch="312" w:charSpace="0"/>
        </w:sectPr>
      </w:pPr>
      <w:bookmarkStart w:id="57" w:name="_Toc15241"/>
    </w:p>
    <w:p w14:paraId="20D7919B">
      <w:pPr>
        <w:pStyle w:val="2"/>
      </w:pPr>
      <w:r>
        <w:t>附录D 评价指标定义</w:t>
      </w:r>
      <w:bookmarkEnd w:id="57"/>
    </w:p>
    <w:p w14:paraId="479761E1">
      <w:pPr>
        <w:spacing w:line="480" w:lineRule="exact"/>
        <w:ind w:firstLine="560" w:firstLineChars="200"/>
      </w:pPr>
      <w:r>
        <w:t xml:space="preserve">- </w:t>
      </w:r>
      <w:r>
        <w:rPr>
          <w:b/>
        </w:rPr>
        <w:t>终态</w:t>
      </w:r>
      <w:r>
        <w:t>：通过审稿（论文通过审稿且交付完备）/ 两轮驳回（两轮审稿均驳回）/ 未经评审直接提交（关闭审稿门配置，产出未经评审）/ 步数耗尽。</w:t>
      </w:r>
    </w:p>
    <w:p w14:paraId="7EAB835F">
      <w:pPr>
        <w:spacing w:line="480" w:lineRule="exact"/>
        <w:ind w:firstLine="560" w:firstLineChars="200"/>
      </w:pPr>
      <w:r>
        <w:t xml:space="preserve">- </w:t>
      </w:r>
      <w:r>
        <w:rPr>
          <w:b/>
        </w:rPr>
        <w:t>无出处数值（orphan numbers）</w:t>
      </w:r>
      <w:r>
        <w:t>：论文小数数值中无法在工具调用记录里找到出处的个数（数值审计，容差覆盖四舍五入与百分数换算）。</w:t>
      </w:r>
    </w:p>
    <w:p w14:paraId="5C090F65">
      <w:pPr>
        <w:spacing w:line="480" w:lineRule="exact"/>
        <w:ind w:firstLine="560" w:firstLineChars="200"/>
      </w:pPr>
      <w:r>
        <w:t xml:space="preserve">- </w:t>
      </w:r>
      <w:r>
        <w:rPr>
          <w:b/>
        </w:rPr>
        <w:t>综合误差</w:t>
      </w:r>
      <w:r>
        <w:t>（</w:t>
      </w:r>
      <m:oMath>
        <m:sSup>
          <m:sSupPr/>
          <m:e>
            <m:r>
              <m:rPr/>
              <w:rPr>
                <w:sz w:val="24"/>
                <w:szCs w:val="24"/>
              </w:rPr>
              <m:t>δ</m:t>
            </m:r>
          </m:e>
          <m:sup>
            <m:r>
              <m:rPr/>
              <w:rPr>
                <w:sz w:val="24"/>
                <w:szCs w:val="24"/>
              </w:rPr>
              <m:t>∗</m:t>
            </m:r>
          </m:sup>
        </m:sSup>
      </m:oMath>
      <w:r>
        <w:t>）：样本数加权的子域误差均值，式(4)。</w:t>
      </w:r>
    </w:p>
    <w:p w14:paraId="215375A9">
      <w:pPr>
        <w:spacing w:line="480" w:lineRule="exact"/>
        <w:ind w:firstLine="560" w:firstLineChars="200"/>
      </w:pPr>
      <w:r>
        <w:t xml:space="preserve">- </w:t>
      </w:r>
      <w:r>
        <w:rPr>
          <w:b/>
        </w:rPr>
        <w:t>留出验证 MAPE</w:t>
      </w:r>
      <w:r>
        <w:t>：独立留出点上 |预测−实测|/实测 的均值（模型训练不含留出点）。</w:t>
      </w:r>
    </w:p>
    <w:p w14:paraId="2A4997EF">
      <w:pPr>
        <w:spacing w:line="480" w:lineRule="exact"/>
        <w:ind w:firstLine="560" w:firstLineChars="200"/>
      </w:pPr>
      <w:r>
        <w:t xml:space="preserve">- </w:t>
      </w:r>
      <w:r>
        <w:rPr>
          <w:b/>
        </w:rPr>
        <w:t>前缀缓存命中率</w:t>
      </w:r>
      <w:r>
        <w:t>：prompt token 中由推理服务 KV 缓存命中的比例（逐调用记录）。</w:t>
      </w:r>
    </w:p>
    <w:p w14:paraId="454B48F6">
      <w:pPr>
        <w:spacing w:line="480" w:lineRule="exact"/>
        <w:ind w:firstLine="560" w:firstLineChars="200"/>
      </w:pPr>
      <w:r>
        <w:t xml:space="preserve">- </w:t>
      </w:r>
      <w:r>
        <w:rPr>
          <w:b/>
        </w:rPr>
        <w:t>主循环步数 / 工具调用数</w:t>
      </w:r>
      <w:r>
        <w:t>：智能体主循环轮数 / 工具调用轨迹条数。</w:t>
      </w:r>
    </w:p>
    <w:p w14:paraId="703FC3ED">
      <w:pPr>
        <w:spacing w:line="480" w:lineRule="exact"/>
        <w:ind w:firstLine="560" w:firstLineChars="200"/>
      </w:pPr>
      <w:r>
        <w:t xml:space="preserve">- </w:t>
      </w:r>
      <w:r>
        <w:rPr>
          <w:b/>
        </w:rPr>
        <w:t>产出定量评分（盲评量表）</w:t>
      </w:r>
      <w:r>
        <w:t>：对最终论文的独立评分，四个维度各 0–4 分、五档锚定。D1 科学实质与原创性：对研究问题的回应深度与发现的新结构；研究问题要素=双响应量联合标度、子域结构、相变判据、独立验证，完全无验证环节的论文 D1 不高于 3。D2 证据与验证：验证的独立性（验证点须在训练集之外）、误差分析的诚实度（含失败点定位与系统偏差）、机制结论的独立证据源数。D3 严谨与自洽：论文文本内部可检验的一致性——表内算术（求和复算）、图文一致、参考文献完整可信（无占位条目）、声明强度与证据匹配。D4 呈现与表达：结构完整性、图自明性（图例/色标/轴标签）、定量表达规范（舍入与有效数字）。锚点档位：4=要素齐备且有亮点；3=实质满足、轻微缺陷；2=可见缺陷但非系统性；1=多处缺陷或系统性不自洽；0=不构成满足。评分者只见乱序匿名的论文页面图像、研究意图原文与量表，不知配置归属；交付完备性（三件交付物（论文、幻灯片、行为报告）、终态）不进入评分，在运行记录层单列。</w:t>
      </w:r>
    </w:p>
    <w:p w14:paraId="3FF721E1">
      <w:pPr>
        <w:pStyle w:val="2"/>
        <w:sectPr>
          <w:pgSz w:w="11906" w:h="16838"/>
          <w:pgMar w:top="1440" w:right="1800" w:bottom="1440" w:left="1800" w:header="851" w:footer="992" w:gutter="0"/>
          <w:cols w:space="425" w:num="1"/>
          <w:docGrid w:type="lines" w:linePitch="312" w:charSpace="0"/>
        </w:sectPr>
      </w:pPr>
      <w:bookmarkStart w:id="58" w:name="_Toc12302"/>
    </w:p>
    <w:p w14:paraId="731751F8">
      <w:pPr>
        <w:pStyle w:val="2"/>
      </w:pPr>
      <w:r>
        <w:t>附录E 基线运行交付物：自主研究论文原文</w:t>
      </w:r>
      <w:bookmarkEnd w:id="58"/>
    </w:p>
    <w:p w14:paraId="5BCFBCBB">
      <w:pPr>
        <w:spacing w:line="480" w:lineRule="exact"/>
        <w:ind w:firstLine="560" w:firstLineChars="200"/>
      </w:pPr>
      <w:r>
        <w:t>附录E 为基线运行中智能体自主产出的 REVTeX 论文英文原文全文（PDF 六页原样，含正文、图表与参考文献）。该论文通过两轮独立审稿，正文 30 个数值全部可溯源到工具记录；其中文解读见第 4 章，过程留痕摘录见附录C。作为冻结交付物，原文原样收录、不作修改；终稿核对发现的已知勘误在此列出，中文正文以修正后口径为准：（1）论文参考文献</w:t>
      </w:r>
      <w:r>
        <w:rPr>
          <w:sz w:val="18"/>
          <w:szCs w:val="18"/>
          <w:vertAlign w:val="superscript"/>
        </w:rPr>
        <w:t>[3]</w:t>
      </w:r>
      <w:r>
        <w:t>（颗粒 Leidenfrost 效应，Phys. Rev. Lett. 95, 258001 (2005)）的作者列表与正式出版记录不符，正确作者为 Eshuis、van der Weele、van der Meer、Lohse（主报告参考文献</w:t>
      </w:r>
      <w:r>
        <w:rPr>
          <w:sz w:val="18"/>
          <w:szCs w:val="18"/>
          <w:vertAlign w:val="superscript"/>
        </w:rPr>
        <w:t>[36]</w:t>
      </w:r>
      <w:r>
        <w:t>已按正式记录著录）；（2）实验设计小节的去重计数表述（"105 duplicates"）与其后"405+111=516"的口径不能同时对账，正确对账为累计提交 622 个工况次、合并去除 106 条重复记录、得 516 个唯一有效点（4.2 节）；（3）摘要中"mean absolute error 16.5%"应为平均绝对百分比误差（MAPE），且该验证对象是第一轮冻结模型（4.4 节）；（4）论文方法部分未引用其分区实现的直接方法来源，该分区量纲分析沿自已有方法（主报告参考文献</w:t>
      </w:r>
      <w:r>
        <w:rPr>
          <w:sz w:val="18"/>
          <w:szCs w:val="18"/>
          <w:vertAlign w:val="superscript"/>
        </w:rPr>
        <w:t>[11,12]</w:t>
      </w:r>
      <w:r>
        <w:t>，移植与对齐说明见 2.7 节）。论文的可检索 PDF 原件与 LaTeX 源文件留存于基线运行留痕目录（附录A），本附录图片仅为评审阅读方便。</w:t>
      </w:r>
    </w:p>
    <w:p w14:paraId="2944A416">
      <w:pPr>
        <w:keepNext/>
        <w:spacing w:line="240" w:lineRule="auto"/>
        <w:jc w:val="center"/>
      </w:pPr>
      <w:r>
        <w:drawing>
          <wp:inline distT="0" distB="0" distL="114300" distR="114300">
            <wp:extent cx="5212080" cy="6744970"/>
            <wp:effectExtent l="0" t="0" r="76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12080" cy="6745045"/>
                    </a:xfrm>
                    <a:prstGeom prst="rect">
                      <a:avLst/>
                    </a:prstGeom>
                  </pic:spPr>
                </pic:pic>
              </a:graphicData>
            </a:graphic>
          </wp:inline>
        </w:drawing>
      </w:r>
    </w:p>
    <w:p w14:paraId="063E490D">
      <w:pPr>
        <w:keepNext/>
        <w:spacing w:line="240" w:lineRule="auto"/>
        <w:jc w:val="center"/>
      </w:pPr>
      <w:r>
        <w:drawing>
          <wp:inline distT="0" distB="0" distL="114300" distR="114300">
            <wp:extent cx="5212080" cy="6744970"/>
            <wp:effectExtent l="0" t="0" r="762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12080" cy="6745045"/>
                    </a:xfrm>
                    <a:prstGeom prst="rect">
                      <a:avLst/>
                    </a:prstGeom>
                  </pic:spPr>
                </pic:pic>
              </a:graphicData>
            </a:graphic>
          </wp:inline>
        </w:drawing>
      </w:r>
    </w:p>
    <w:p w14:paraId="4EF6E8D8">
      <w:pPr>
        <w:keepNext/>
        <w:spacing w:line="240" w:lineRule="auto"/>
        <w:jc w:val="center"/>
      </w:pPr>
      <w:r>
        <w:drawing>
          <wp:inline distT="0" distB="0" distL="114300" distR="114300">
            <wp:extent cx="5212080" cy="6744970"/>
            <wp:effectExtent l="0" t="0" r="762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12080" cy="6745045"/>
                    </a:xfrm>
                    <a:prstGeom prst="rect">
                      <a:avLst/>
                    </a:prstGeom>
                  </pic:spPr>
                </pic:pic>
              </a:graphicData>
            </a:graphic>
          </wp:inline>
        </w:drawing>
      </w:r>
    </w:p>
    <w:p w14:paraId="080B5CBA">
      <w:pPr>
        <w:keepNext/>
        <w:spacing w:line="240" w:lineRule="auto"/>
        <w:jc w:val="center"/>
      </w:pPr>
      <w:r>
        <w:drawing>
          <wp:inline distT="0" distB="0" distL="114300" distR="114300">
            <wp:extent cx="5212080" cy="6744970"/>
            <wp:effectExtent l="0" t="0" r="762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12080" cy="6745045"/>
                    </a:xfrm>
                    <a:prstGeom prst="rect">
                      <a:avLst/>
                    </a:prstGeom>
                  </pic:spPr>
                </pic:pic>
              </a:graphicData>
            </a:graphic>
          </wp:inline>
        </w:drawing>
      </w:r>
    </w:p>
    <w:p w14:paraId="49699CF3">
      <w:pPr>
        <w:keepNext/>
        <w:spacing w:line="240" w:lineRule="auto"/>
        <w:jc w:val="center"/>
      </w:pPr>
      <w:r>
        <w:drawing>
          <wp:inline distT="0" distB="0" distL="114300" distR="114300">
            <wp:extent cx="5212080" cy="6744970"/>
            <wp:effectExtent l="0" t="0" r="762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12080" cy="6745045"/>
                    </a:xfrm>
                    <a:prstGeom prst="rect">
                      <a:avLst/>
                    </a:prstGeom>
                  </pic:spPr>
                </pic:pic>
              </a:graphicData>
            </a:graphic>
          </wp:inline>
        </w:drawing>
      </w:r>
    </w:p>
    <w:p w14:paraId="42B24915">
      <w:pPr>
        <w:keepNext/>
        <w:spacing w:line="240" w:lineRule="auto"/>
        <w:jc w:val="center"/>
      </w:pPr>
      <w:r>
        <w:drawing>
          <wp:inline distT="0" distB="0" distL="114300" distR="114300">
            <wp:extent cx="5212080" cy="6744970"/>
            <wp:effectExtent l="0" t="0" r="762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12080" cy="6745045"/>
                    </a:xfrm>
                    <a:prstGeom prst="rect">
                      <a:avLst/>
                    </a:prstGeom>
                  </pic:spPr>
                </pic:pic>
              </a:graphicData>
            </a:graphic>
          </wp:inline>
        </w:drawing>
      </w:r>
    </w:p>
    <w:p w14:paraId="04CF7317">
      <w:pPr>
        <w:pStyle w:val="2"/>
        <w:sectPr>
          <w:pgSz w:w="11906" w:h="16838"/>
          <w:pgMar w:top="1440" w:right="1800" w:bottom="1440" w:left="1800" w:header="851" w:footer="992" w:gutter="0"/>
          <w:cols w:space="425" w:num="1"/>
          <w:docGrid w:type="lines" w:linePitch="312" w:charSpace="0"/>
        </w:sectPr>
      </w:pPr>
      <w:bookmarkStart w:id="59" w:name="_Toc9700"/>
    </w:p>
    <w:p w14:paraId="3408ADFF">
      <w:pPr>
        <w:pStyle w:val="2"/>
      </w:pPr>
      <w:r>
        <w:t>附录F 基线运行交付物：汇报幻灯片选页</w:t>
      </w:r>
      <w:bookmarkEnd w:id="59"/>
    </w:p>
    <w:p w14:paraId="1EACCF36">
      <w:pPr>
        <w:spacing w:line="480" w:lineRule="exact"/>
        <w:ind w:firstLine="560" w:firstLineChars="200"/>
      </w:pPr>
      <w:r>
        <w:t xml:space="preserve">基线运行同时自主产出 15 页 Beamer 汇报幻灯片（复用论文图表，完整版用于决赛路演）。此处选录四个代表页（幻灯片第 1、7、10、13 页）：标题与研究概览、DDDA 方法介绍、势能响应的复杂结构、能量分配比 </w:t>
      </w:r>
      <m:oMath>
        <m:r>
          <m:rPr/>
          <w:rPr>
            <w:sz w:val="24"/>
            <w:szCs w:val="24"/>
          </w:rPr>
          <m:t>R</m:t>
        </m:r>
      </m:oMath>
      <w:r>
        <w:t xml:space="preserve"> 的阶梯结构与留出验证。</w:t>
      </w:r>
    </w:p>
    <w:p w14:paraId="07A3A361">
      <w:pPr>
        <w:keepNext/>
        <w:spacing w:line="240" w:lineRule="auto"/>
        <w:jc w:val="center"/>
      </w:pPr>
      <w:r>
        <w:drawing>
          <wp:inline distT="0" distB="0" distL="114300" distR="114300">
            <wp:extent cx="5116830" cy="2879725"/>
            <wp:effectExtent l="0" t="0" r="762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116830" cy="2879725"/>
                    </a:xfrm>
                    <a:prstGeom prst="rect">
                      <a:avLst/>
                    </a:prstGeom>
                  </pic:spPr>
                </pic:pic>
              </a:graphicData>
            </a:graphic>
          </wp:inline>
        </w:drawing>
      </w:r>
    </w:p>
    <w:p w14:paraId="09298C9C">
      <w:pPr>
        <w:keepNext/>
        <w:spacing w:line="240" w:lineRule="auto"/>
        <w:jc w:val="center"/>
      </w:pPr>
      <w:r>
        <w:drawing>
          <wp:inline distT="0" distB="0" distL="114300" distR="114300">
            <wp:extent cx="5116195" cy="2879725"/>
            <wp:effectExtent l="0" t="0" r="825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116195" cy="2879725"/>
                    </a:xfrm>
                    <a:prstGeom prst="rect">
                      <a:avLst/>
                    </a:prstGeom>
                  </pic:spPr>
                </pic:pic>
              </a:graphicData>
            </a:graphic>
          </wp:inline>
        </w:drawing>
      </w:r>
    </w:p>
    <w:p w14:paraId="24BEE222">
      <w:pPr>
        <w:keepNext/>
        <w:spacing w:line="240" w:lineRule="auto"/>
        <w:jc w:val="center"/>
      </w:pPr>
      <w:r>
        <w:drawing>
          <wp:inline distT="0" distB="0" distL="114300" distR="114300">
            <wp:extent cx="5116195" cy="2879725"/>
            <wp:effectExtent l="0" t="0" r="8255"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116195" cy="2879725"/>
                    </a:xfrm>
                    <a:prstGeom prst="rect">
                      <a:avLst/>
                    </a:prstGeom>
                  </pic:spPr>
                </pic:pic>
              </a:graphicData>
            </a:graphic>
          </wp:inline>
        </w:drawing>
      </w:r>
    </w:p>
    <w:p w14:paraId="1A30FAE7">
      <w:pPr>
        <w:keepNext/>
        <w:spacing w:line="240" w:lineRule="auto"/>
        <w:jc w:val="center"/>
      </w:pPr>
      <w:r>
        <w:drawing>
          <wp:inline distT="0" distB="0" distL="114300" distR="114300">
            <wp:extent cx="5116195" cy="2879725"/>
            <wp:effectExtent l="0" t="0" r="8255"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116195" cy="2879725"/>
                    </a:xfrm>
                    <a:prstGeom prst="rect">
                      <a:avLst/>
                    </a:prstGeom>
                  </pic:spPr>
                </pic:pic>
              </a:graphicData>
            </a:graphic>
          </wp:inline>
        </w:drawing>
      </w:r>
    </w:p>
    <w:p w14:paraId="1A6E97F7">
      <w:pPr>
        <w:pStyle w:val="2"/>
        <w:sectPr>
          <w:pgSz w:w="11906" w:h="16838"/>
          <w:pgMar w:top="1440" w:right="1800" w:bottom="1440" w:left="1800" w:header="851" w:footer="992" w:gutter="0"/>
          <w:cols w:space="425" w:num="1"/>
          <w:docGrid w:type="lines" w:linePitch="312" w:charSpace="0"/>
        </w:sectPr>
      </w:pPr>
      <w:bookmarkStart w:id="60" w:name="_Toc14432"/>
    </w:p>
    <w:p w14:paraId="6C9B912E">
      <w:pPr>
        <w:pStyle w:val="2"/>
      </w:pPr>
      <w:r>
        <w:t>参考文献</w:t>
      </w:r>
      <w:bookmarkEnd w:id="60"/>
    </w:p>
    <w:p w14:paraId="2E0748B1">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 Wang H., Fu T., Du Y., Gao W., Huang K., Liu Z., Chandak P., Liu S., Van Katwyk P., Deac A., Anandkumar A., Bergen K., Gomes C.P., Ho S., Kohli P., Lasenby J., Leskovec J., Liu T.-Y., Manrai A., Marks D., Ramsundar B., Song L., Sun J., Tang J., Veličković P., Welling M., Zhang L., Coley C.W., Bengio Y., Zitnik M. Scientific discovery in the age of artificial intelligence. Nature, 2023, 620(7972): 47-60.</w:t>
      </w:r>
    </w:p>
    <w:p w14:paraId="2543A017">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 Jumper J., Evans R., Pritzel A., Green T., Figurnov M., Ronneberger O., Tunyasuvunakool K., Bates R., Žídek A., Potapenko A., Bridgland A., Meyer C., Kohl S.A.A., Ballard A.J., Cowie A., Romera-Paredes B., Nikolov S., Jain R., Adler J., Back T., Petersen S., Reiman D., Clancy E., Zielinski M., Steinegger M., Pacholska M., Berghammer T., Bodenstein S., Silver D., Vinyals O., Senior A.W., Kavukcuoglu K., Kohli P., Hassabis D. Highly accurate protein structure prediction with AlphaFold. Nature, 2021, 596(7873): 583-589.</w:t>
      </w:r>
    </w:p>
    <w:p w14:paraId="017EF402">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 Burger B., Maffettone P.M., Gusev V.V., Aitchison C.M., Bai Y., Wang X., Li X., Alston B.M., Li B., Clowes R., Rankin N., Harris B., Sprick R.S., Cooper A.I. A mobile robotic chemist. Nature, 2020, 583(7815): 237-241.</w:t>
      </w:r>
    </w:p>
    <w:p w14:paraId="4123247E">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[4] Schmidt M., Lipson H. Distilling free-form natural laws from experimental data. Science, 2009, 324(5923): 81-85.</w:t>
      </w:r>
    </w:p>
    <w:p w14:paraId="226253D9">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[5] del Rosario Z., Lee M., Iaccarino G. Lurking variable detection via dimensional analysis. SIAM/ASA Journal on Uncertainty Quantification, 2019, 7(1): 232-259.</w:t>
      </w:r>
    </w:p>
    <w:p w14:paraId="094A71B3">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[6] Constantine P.G., del Rosario Z., Iaccarino G. Data-driven dimensional analysis: algorithms for unique and relevant dimensionless groups. arXiv preprint arXiv:1708.04303, 2017.</w:t>
      </w:r>
    </w:p>
    <w:p w14:paraId="48AEFB41">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[7] Lejarza F., Baldea M. Data-driven discovery of the governing equations of dynamical systems via moving horizon optimization. Scientific Reports, 2022, 12(1): 11836.</w:t>
      </w:r>
    </w:p>
    <w:p w14:paraId="5C375FBB">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[8] Xie X., Samaei A., Guo J., Liu W.K., Gan Z. Data-driven discovery of dimensionless numbers and governing laws from scarce measurements. Nature Communications, 2022, 13(1): 7562.</w:t>
      </w:r>
    </w:p>
    <w:p w14:paraId="74F544CF">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[9] Xu Z., Zhang X., Wang S., He G. Artificial neural network based response surface for data-driven dimensional analysis. Journal of Computational Physics, 2022, 459: 111145.</w:t>
      </w:r>
    </w:p>
    <w:p w14:paraId="18EC6419">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[10] Zhang L., Xu Z., Wang S., He G. Clustering dimensionless learning for multiple-physical-regime systems. Computer Methods in Applied Mechanics and Engineering, 2024, 420: 116728.</w:t>
      </w:r>
    </w:p>
    <w:p w14:paraId="5CFF631D">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[11] 安翼, 王驰, 庞嘉顺. 适用于复杂力学问题的分区数据驱动量纲分析方法及应用. 第十七届全国环境力学学术会议(2022.12.24, 在线), 2022.</w:t>
      </w:r>
    </w:p>
    <w:p w14:paraId="7F424B98">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[12] 王驰. 振动颗粒体系相态及密度分层机理研究[博士学位论文]. 北京: 中国矿业大学(北京), 2024.</w:t>
      </w:r>
    </w:p>
    <w:p w14:paraId="78B10564">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[13] Kennedy D., Norman C. What don't we know? Science, 2005, 309(5731): 75.</w:t>
      </w:r>
    </w:p>
    <w:p w14:paraId="5EC1196A">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[14] Li Y., Gui N., Yang X., Tu J., Jiang S. Numerical study of gravity-driven dense granular flows on flow behavior characterization. Powder Technology, 2016, 297: 144-152.</w:t>
      </w:r>
    </w:p>
    <w:p w14:paraId="58F04EA6">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[15] Ramaioli M. Granular flow simulations and experiments for the food industry. 2008.</w:t>
      </w:r>
    </w:p>
    <w:p w14:paraId="09CC14E1">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[16] Forterre Y., Pouliquen O. Flows of dense granular media. Annual Review of Fluid Mechanics, 2008, 40: 1-24.</w:t>
      </w:r>
    </w:p>
    <w:p w14:paraId="3F1A560D">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[17] Pitman E.B., Nichita C.C., Patra A., Bauer A., Sheridan M., Bursik M. Computing granular avalanches and landslides. Physics of Fluids, 2003, 15(12): 3638-3646.</w:t>
      </w:r>
    </w:p>
    <w:p w14:paraId="133CB9DC">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[18] Iverson R.M. The physics of debris flows. Reviews of Geophysics, 1997, 35(3): 245-296.</w:t>
      </w:r>
    </w:p>
    <w:p w14:paraId="1567B03C">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[19] Debrégeas G., Josserand C. A self-similar model for shear flows in dense granular materials. Europhysics Letters, 2000, 52(2): 137-143.</w:t>
      </w:r>
    </w:p>
    <w:p w14:paraId="6BD52807">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[20] 刘传奇, 孙其诚, 王光谦. 颗粒介质结构与力学特征研究综述. 力学与实践, 2014, (6): 6.</w:t>
      </w:r>
    </w:p>
    <w:p w14:paraId="2C9359C5">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[21] Ananda K.S., Patra J., Nott P.R. Experimental evidence of the kinematic Cosserat effect in dense granular flows. Physics of Fluids, 2009, 21(5): 051703.</w:t>
      </w:r>
    </w:p>
    <w:p w14:paraId="640E065C">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[22] Lu C., Lu C., Lange R.T., et al. The AI Scientist: Towards fully automated open-ended scientific discovery. arXiv preprint arXiv:2408.06292, 2024.</w:t>
      </w:r>
    </w:p>
    <w:p w14:paraId="22AE7892">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[23] Bran A.M., Cox S., Schilter O., Baldassari C., White A.D., Schwaller P. Augmenting large language models with chemistry tools. Nature Machine Intelligence, 2024, 6: 525-535.</w:t>
      </w:r>
    </w:p>
    <w:p w14:paraId="72F07F7A">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[24] Boiko D.A., MacKnight R., Kline B., Gomes G. Autonomous chemical research with large language models. Nature, 2023, 624(7992): 570-578.</w:t>
      </w:r>
    </w:p>
    <w:p w14:paraId="328BC9D3">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[25] Huang Q., Vora J., Liang P., Leskovec J. MLAgentBench: Evaluating language agents on machine learning experimental tasks. Proceedings of the 41st International Conference on Machine Learning (ICML), 2024.</w:t>
      </w:r>
    </w:p>
    <w:p w14:paraId="36C3D761">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[26] Xi Z., Chen W., Guo X., He W., Ding Y., Hong B., Zhang M., Wang J., Jin S., Zhou E., et al. The rise and potential of large language model based agents: A survey. Science China Information Sciences, 2025, 68(2): 121101.</w:t>
      </w:r>
    </w:p>
    <w:p w14:paraId="429A1690">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[27] Yao S., Zhao J., Yu D., Du N., Shafran I., Narasimhan K., Cao Y. ReAct: Synergizing reasoning and acting in language models. Proceedings of the 11th International Conference on Learning Representations (ICLR), 2023.</w:t>
      </w:r>
    </w:p>
    <w:p w14:paraId="5E598309">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[28] Schick T., Dwivedi-Yu J., Dessì R., Raileanu R., Lomeli M., Hambro E., Zettlemoyer L., Cancedda N., Scialom T. Toolformer: Language models can teach themselves to use tools. Advances in Neural Information Processing Systems, 2023, 36.</w:t>
      </w:r>
    </w:p>
    <w:p w14:paraId="7039E54F">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[29] Kitano H. Nobel Turing Challenge: Creating the engine for scientific discovery. npj Systems Biology and Applications, 2021, 7: 29.</w:t>
      </w:r>
    </w:p>
    <w:p w14:paraId="78B99D40">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[30] Cundall P.A., Strack O.D.L. A discrete numerical model for granular assemblies. Géotechnique, 1979, 29(1): 47-65.</w:t>
      </w:r>
    </w:p>
    <w:p w14:paraId="2322F3FF">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[31] Jaeger H.M., Nagel S.R., Behringer R.P. Granular solids, liquids, and gases. Reviews of Modern Physics, 1996, 68(4): 1259-1273.</w:t>
      </w:r>
    </w:p>
    <w:p w14:paraId="76D99EEF">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[32] Buckingham E. On physically similar systems; notes on equations and dimensions. Physical Review, 1914, 4(4): 345-376.</w:t>
      </w:r>
    </w:p>
    <w:p w14:paraId="2AB8D1BD">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[33] Chiu S.L. Fuzzy model identification based on cluster estimation. Journal of Intelligent &amp; Fuzzy Systems, 1994, 2(3): 267-278.</w:t>
      </w:r>
    </w:p>
    <w:p w14:paraId="72D596DA">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[34] Bezdek J.C. Pattern Recognition with Fuzzy Objective Function Algorithms. New York: Plenum Press, 1981.</w:t>
      </w:r>
    </w:p>
    <w:p w14:paraId="1CA0CE0B">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[35] Kloss C., Goniva C., Hager A., Amberger S., Pirker S. Models, algorithms and validation for opensource DEM and CFD-DEM. Progress in Computational Fluid Dynamics, 2012, 12(2-3): 140-152.</w:t>
      </w:r>
    </w:p>
    <w:p w14:paraId="546157C1">
      <w:pPr>
        <w:pStyle w:val="42"/>
        <w:keepNext w:val="0"/>
        <w:keepLines w:val="0"/>
        <w:pageBreakBefore w:val="0"/>
        <w:widowControl w:val="0"/>
        <w:kinsoku/>
        <w:wordWrap/>
        <w:overflowPunct/>
        <w:topLinePunct w:val="0"/>
        <w:autoSpaceDE/>
        <w:autoSpaceDN/>
        <w:bidi w:val="0"/>
        <w:adjustRightInd/>
        <w:snapToGrid/>
        <w:spacing w:after="63" w:afterLines="20" w:line="240" w:lineRule="exact"/>
        <w:textAlignment w:val="auto"/>
        <w:rPr>
          <w:rFonts w:hint="default" w:ascii="Times New Roman" w:hAnsi="Times New Roman" w:cs="Times New Roman"/>
          <w:sz w:val="18"/>
          <w:szCs w:val="21"/>
        </w:rPr>
      </w:pPr>
      <w:r>
        <w:rPr>
          <w:rFonts w:hint="default" w:ascii="Times New Roman" w:hAnsi="Times New Roman" w:cs="Times New Roman"/>
          <w:sz w:val="18"/>
          <w:szCs w:val="21"/>
        </w:rPr>
        <w:t>[36] Eshuis P., van der Weele K., van der Meer D., Lohse D. Granular Leidenfrost effect: experiment and theory of floating particle clusters. Physical Review Letters, 2005, 95(25): 258001.</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浠垮畫">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S Mincho">
    <w:panose1 w:val="02020609040205080304"/>
    <w:charset w:val="80"/>
    <w:family w:val="modern"/>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0655340"/>
      <w:docPartObj>
        <w:docPartGallery w:val="autotext"/>
      </w:docPartObj>
    </w:sdtPr>
    <w:sdtContent>
      <w:p w14:paraId="6E92E670">
        <w:pPr>
          <w:pStyle w:val="13"/>
          <w:ind w:left="1120"/>
          <w:jc w:val="center"/>
        </w:pPr>
        <w:r>
          <w:fldChar w:fldCharType="begin"/>
        </w:r>
        <w:r>
          <w:instrText xml:space="preserve">PAGE   \* MERGEFORMAT</w:instrText>
        </w:r>
        <w:r>
          <w:fldChar w:fldCharType="separate"/>
        </w:r>
        <w:r>
          <w:rPr>
            <w:lang w:val="zh-CN"/>
          </w:rPr>
          <w:t>2</w:t>
        </w:r>
        <w:r>
          <w:fldChar w:fldCharType="end"/>
        </w:r>
      </w:p>
    </w:sdtContent>
  </w:sdt>
  <w:p w14:paraId="149F3D4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基金&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55te2daa29e26efxf0x2xtw9wzdd0e9ftv2&quot;&gt;zhanglin Library&lt;record-ids&gt;&lt;item&gt;636&lt;/item&gt;&lt;item&gt;755&lt;/item&gt;&lt;item&gt;757&lt;/item&gt;&lt;item&gt;758&lt;/item&gt;&lt;item&gt;759&lt;/item&gt;&lt;item&gt;760&lt;/item&gt;&lt;item&gt;761&lt;/item&gt;&lt;item&gt;763&lt;/item&gt;&lt;item&gt;764&lt;/item&gt;&lt;item&gt;765&lt;/item&gt;&lt;item&gt;811&lt;/item&gt;&lt;item&gt;813&lt;/item&gt;&lt;item&gt;817&lt;/item&gt;&lt;item&gt;821&lt;/item&gt;&lt;item&gt;924&lt;/item&gt;&lt;item&gt;943&lt;/item&gt;&lt;item&gt;944&lt;/item&gt;&lt;item&gt;945&lt;/item&gt;&lt;item&gt;946&lt;/item&gt;&lt;/record-ids&gt;&lt;/item&gt;&lt;/Libraries&gt;"/>
  </w:docVars>
  <w:rsids>
    <w:rsidRoot w:val="00D52CDC"/>
    <w:rsid w:val="000A4297"/>
    <w:rsid w:val="000B37B3"/>
    <w:rsid w:val="000C25F5"/>
    <w:rsid w:val="000D2E67"/>
    <w:rsid w:val="0010267C"/>
    <w:rsid w:val="001539AF"/>
    <w:rsid w:val="002004A5"/>
    <w:rsid w:val="002358AA"/>
    <w:rsid w:val="00246AC2"/>
    <w:rsid w:val="002534A9"/>
    <w:rsid w:val="002874E7"/>
    <w:rsid w:val="002C011B"/>
    <w:rsid w:val="002C240E"/>
    <w:rsid w:val="002C4C98"/>
    <w:rsid w:val="00325DDE"/>
    <w:rsid w:val="003340D0"/>
    <w:rsid w:val="00352A25"/>
    <w:rsid w:val="003832ED"/>
    <w:rsid w:val="0038675A"/>
    <w:rsid w:val="003874B0"/>
    <w:rsid w:val="00396582"/>
    <w:rsid w:val="00397C74"/>
    <w:rsid w:val="0043339F"/>
    <w:rsid w:val="00470B8F"/>
    <w:rsid w:val="00485F43"/>
    <w:rsid w:val="00486BCC"/>
    <w:rsid w:val="00497345"/>
    <w:rsid w:val="004B7E96"/>
    <w:rsid w:val="004C36BE"/>
    <w:rsid w:val="004C5D32"/>
    <w:rsid w:val="004D3791"/>
    <w:rsid w:val="0053215F"/>
    <w:rsid w:val="00596B38"/>
    <w:rsid w:val="005B4CFA"/>
    <w:rsid w:val="005C3709"/>
    <w:rsid w:val="005E1F52"/>
    <w:rsid w:val="00600AE0"/>
    <w:rsid w:val="00651D52"/>
    <w:rsid w:val="00655301"/>
    <w:rsid w:val="00661444"/>
    <w:rsid w:val="006770DC"/>
    <w:rsid w:val="006A18D1"/>
    <w:rsid w:val="006A45F1"/>
    <w:rsid w:val="006B2187"/>
    <w:rsid w:val="006B7189"/>
    <w:rsid w:val="006D4AC6"/>
    <w:rsid w:val="00753285"/>
    <w:rsid w:val="00756166"/>
    <w:rsid w:val="00774004"/>
    <w:rsid w:val="00782876"/>
    <w:rsid w:val="007848EA"/>
    <w:rsid w:val="007A365F"/>
    <w:rsid w:val="007A53E1"/>
    <w:rsid w:val="00806FE6"/>
    <w:rsid w:val="00817FB7"/>
    <w:rsid w:val="0085579E"/>
    <w:rsid w:val="008764F7"/>
    <w:rsid w:val="008915A8"/>
    <w:rsid w:val="0089178C"/>
    <w:rsid w:val="008C3353"/>
    <w:rsid w:val="00903096"/>
    <w:rsid w:val="00903AEA"/>
    <w:rsid w:val="009052BD"/>
    <w:rsid w:val="009157BA"/>
    <w:rsid w:val="00922A1E"/>
    <w:rsid w:val="0092482B"/>
    <w:rsid w:val="00A203EC"/>
    <w:rsid w:val="00A25B73"/>
    <w:rsid w:val="00A307FC"/>
    <w:rsid w:val="00A42C78"/>
    <w:rsid w:val="00A47E3B"/>
    <w:rsid w:val="00A876B6"/>
    <w:rsid w:val="00AA2655"/>
    <w:rsid w:val="00AA5792"/>
    <w:rsid w:val="00AC1EB9"/>
    <w:rsid w:val="00AE7227"/>
    <w:rsid w:val="00AF1CC2"/>
    <w:rsid w:val="00AF20DC"/>
    <w:rsid w:val="00AF2C92"/>
    <w:rsid w:val="00B16388"/>
    <w:rsid w:val="00B27416"/>
    <w:rsid w:val="00B27991"/>
    <w:rsid w:val="00B404C3"/>
    <w:rsid w:val="00B5575F"/>
    <w:rsid w:val="00B702A9"/>
    <w:rsid w:val="00BB696B"/>
    <w:rsid w:val="00BD5AD9"/>
    <w:rsid w:val="00BF1B6F"/>
    <w:rsid w:val="00BF6045"/>
    <w:rsid w:val="00C04064"/>
    <w:rsid w:val="00C077CF"/>
    <w:rsid w:val="00C233E6"/>
    <w:rsid w:val="00C61D7D"/>
    <w:rsid w:val="00C93924"/>
    <w:rsid w:val="00CB3A76"/>
    <w:rsid w:val="00CC2281"/>
    <w:rsid w:val="00D52CDC"/>
    <w:rsid w:val="00D66DA9"/>
    <w:rsid w:val="00DA73D5"/>
    <w:rsid w:val="00E02A89"/>
    <w:rsid w:val="00E15C41"/>
    <w:rsid w:val="00E32F36"/>
    <w:rsid w:val="00E65954"/>
    <w:rsid w:val="00E943C7"/>
    <w:rsid w:val="00EB64E9"/>
    <w:rsid w:val="00F1232D"/>
    <w:rsid w:val="00F46C72"/>
    <w:rsid w:val="00FA07F0"/>
    <w:rsid w:val="00FB18D4"/>
    <w:rsid w:val="05BD68F1"/>
    <w:rsid w:val="25CA1523"/>
    <w:rsid w:val="37936580"/>
    <w:rsid w:val="63600718"/>
    <w:rsid w:val="74386D29"/>
    <w:rsid w:val="78A22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Times New Roman" w:hAnsi="Times New Roman" w:eastAsia="仿宋_GB2312" w:cstheme="minorBidi"/>
      <w:kern w:val="2"/>
      <w:sz w:val="28"/>
      <w:szCs w:val="22"/>
      <w:lang w:val="en-US" w:eastAsia="zh-CN" w:bidi="ar-SA"/>
      <w14:ligatures w14:val="standardContextual"/>
    </w:rPr>
  </w:style>
  <w:style w:type="paragraph" w:styleId="2">
    <w:name w:val="heading 1"/>
    <w:basedOn w:val="1"/>
    <w:next w:val="1"/>
    <w:link w:val="22"/>
    <w:qFormat/>
    <w:uiPriority w:val="9"/>
    <w:pPr>
      <w:keepNext/>
      <w:keepLines/>
      <w:spacing w:before="240" w:after="120" w:line="360" w:lineRule="auto"/>
      <w:outlineLvl w:val="0"/>
    </w:pPr>
    <w:rPr>
      <w:rFonts w:ascii="黑体" w:hAnsi="黑体" w:eastAsia="黑体" w:cstheme="majorBidi"/>
      <w:b/>
      <w:sz w:val="32"/>
      <w:szCs w:val="48"/>
    </w:rPr>
  </w:style>
  <w:style w:type="paragraph" w:styleId="3">
    <w:name w:val="heading 2"/>
    <w:basedOn w:val="1"/>
    <w:next w:val="1"/>
    <w:link w:val="23"/>
    <w:unhideWhenUsed/>
    <w:qFormat/>
    <w:uiPriority w:val="9"/>
    <w:pPr>
      <w:keepNext/>
      <w:keepLines/>
      <w:spacing w:before="160" w:after="80"/>
      <w:outlineLvl w:val="1"/>
    </w:pPr>
    <w:rPr>
      <w:rFonts w:eastAsia="仿宋" w:cstheme="majorBidi"/>
      <w:b/>
      <w:szCs w:val="40"/>
    </w:rPr>
  </w:style>
  <w:style w:type="paragraph" w:styleId="4">
    <w:name w:val="heading 3"/>
    <w:basedOn w:val="1"/>
    <w:next w:val="1"/>
    <w:link w:val="24"/>
    <w:unhideWhenUsed/>
    <w:qFormat/>
    <w:uiPriority w:val="9"/>
    <w:pPr>
      <w:keepNext/>
      <w:keepLines/>
      <w:spacing w:before="120"/>
      <w:outlineLvl w:val="2"/>
    </w:pPr>
    <w:rPr>
      <w:rFonts w:eastAsia="仿宋" w:cstheme="majorBidi"/>
      <w:b/>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keepNext/>
      <w:jc w:val="center"/>
    </w:pPr>
    <w:rPr>
      <w:rFonts w:eastAsia="黑体" w:cstheme="majorBidi"/>
      <w:b/>
      <w:sz w:val="21"/>
      <w:szCs w:val="20"/>
    </w:rPr>
  </w:style>
  <w:style w:type="paragraph" w:styleId="12">
    <w:name w:val="toc 3"/>
    <w:basedOn w:val="1"/>
    <w:next w:val="1"/>
    <w:autoRedefine/>
    <w:unhideWhenUsed/>
    <w:uiPriority w:val="39"/>
    <w:pPr>
      <w:ind w:left="840" w:leftChars="400"/>
    </w:pPr>
  </w:style>
  <w:style w:type="paragraph" w:styleId="13">
    <w:name w:val="footer"/>
    <w:basedOn w:val="1"/>
    <w:link w:val="46"/>
    <w:unhideWhenUsed/>
    <w:qFormat/>
    <w:uiPriority w:val="99"/>
    <w:pPr>
      <w:tabs>
        <w:tab w:val="center" w:pos="4153"/>
        <w:tab w:val="right" w:pos="8306"/>
      </w:tabs>
      <w:snapToGrid w:val="0"/>
      <w:spacing w:line="240" w:lineRule="atLeast"/>
      <w:jc w:val="left"/>
    </w:pPr>
    <w:rPr>
      <w:sz w:val="18"/>
      <w:szCs w:val="18"/>
    </w:rPr>
  </w:style>
  <w:style w:type="paragraph" w:styleId="14">
    <w:name w:val="header"/>
    <w:basedOn w:val="1"/>
    <w:link w:val="45"/>
    <w:unhideWhenUsed/>
    <w:qFormat/>
    <w:uiPriority w:val="99"/>
    <w:pPr>
      <w:tabs>
        <w:tab w:val="center" w:pos="4153"/>
        <w:tab w:val="right" w:pos="8306"/>
      </w:tabs>
      <w:snapToGrid w:val="0"/>
      <w:spacing w:line="240" w:lineRule="atLeast"/>
      <w:jc w:val="center"/>
    </w:pPr>
    <w:rPr>
      <w:sz w:val="18"/>
      <w:szCs w:val="18"/>
    </w:rPr>
  </w:style>
  <w:style w:type="paragraph" w:styleId="15">
    <w:name w:val="toc 1"/>
    <w:basedOn w:val="1"/>
    <w:next w:val="1"/>
    <w:autoRedefine/>
    <w:unhideWhenUsed/>
    <w:uiPriority w:val="39"/>
  </w:style>
  <w:style w:type="paragraph" w:styleId="16">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7">
    <w:name w:val="toc 2"/>
    <w:basedOn w:val="1"/>
    <w:next w:val="1"/>
    <w:autoRedefine/>
    <w:unhideWhenUsed/>
    <w:uiPriority w:val="39"/>
    <w:pPr>
      <w:ind w:left="420" w:leftChars="200"/>
    </w:pPr>
  </w:style>
  <w:style w:type="paragraph" w:styleId="18">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1">
    <w:name w:val="Hyperlink"/>
    <w:basedOn w:val="20"/>
    <w:unhideWhenUsed/>
    <w:uiPriority w:val="99"/>
    <w:rPr>
      <w:color w:val="0563C1" w:themeColor="hyperlink"/>
      <w:u w:val="single"/>
      <w14:textFill>
        <w14:solidFill>
          <w14:schemeClr w14:val="hlink"/>
        </w14:solidFill>
      </w14:textFill>
    </w:rPr>
  </w:style>
  <w:style w:type="character" w:customStyle="1" w:styleId="22">
    <w:name w:val="标题 1 字符"/>
    <w:basedOn w:val="20"/>
    <w:link w:val="2"/>
    <w:qFormat/>
    <w:uiPriority w:val="9"/>
    <w:rPr>
      <w:rFonts w:ascii="黑体" w:hAnsi="黑体" w:eastAsia="黑体" w:cstheme="majorBidi"/>
      <w:b/>
      <w:sz w:val="32"/>
      <w:szCs w:val="48"/>
    </w:rPr>
  </w:style>
  <w:style w:type="character" w:customStyle="1" w:styleId="23">
    <w:name w:val="标题 2 字符"/>
    <w:basedOn w:val="20"/>
    <w:link w:val="3"/>
    <w:uiPriority w:val="9"/>
    <w:rPr>
      <w:rFonts w:ascii="Times New Roman" w:hAnsi="Times New Roman" w:eastAsia="仿宋" w:cstheme="majorBidi"/>
      <w:b/>
      <w:sz w:val="28"/>
      <w:szCs w:val="40"/>
    </w:rPr>
  </w:style>
  <w:style w:type="character" w:customStyle="1" w:styleId="24">
    <w:name w:val="标题 3 字符"/>
    <w:basedOn w:val="20"/>
    <w:link w:val="4"/>
    <w:uiPriority w:val="9"/>
    <w:rPr>
      <w:rFonts w:ascii="Times New Roman" w:hAnsi="Times New Roman" w:eastAsia="仿宋" w:cstheme="majorBidi"/>
      <w:b/>
      <w:sz w:val="28"/>
      <w:szCs w:val="32"/>
    </w:rPr>
  </w:style>
  <w:style w:type="character" w:customStyle="1" w:styleId="25">
    <w:name w:val="标题 4 字符"/>
    <w:basedOn w:val="20"/>
    <w:link w:val="5"/>
    <w:semiHidden/>
    <w:qFormat/>
    <w:uiPriority w:val="9"/>
    <w:rPr>
      <w:rFonts w:cstheme="majorBidi"/>
      <w:color w:val="2F5597" w:themeColor="accent1" w:themeShade="BF"/>
      <w:sz w:val="28"/>
      <w:szCs w:val="28"/>
    </w:rPr>
  </w:style>
  <w:style w:type="character" w:customStyle="1" w:styleId="26">
    <w:name w:val="标题 5 字符"/>
    <w:basedOn w:val="20"/>
    <w:link w:val="6"/>
    <w:semiHidden/>
    <w:uiPriority w:val="9"/>
    <w:rPr>
      <w:rFonts w:cstheme="majorBidi"/>
      <w:color w:val="2F5597" w:themeColor="accent1" w:themeShade="BF"/>
      <w:sz w:val="24"/>
      <w:szCs w:val="24"/>
    </w:rPr>
  </w:style>
  <w:style w:type="character" w:customStyle="1" w:styleId="27">
    <w:name w:val="标题 6 字符"/>
    <w:basedOn w:val="20"/>
    <w:link w:val="7"/>
    <w:semiHidden/>
    <w:qFormat/>
    <w:uiPriority w:val="9"/>
    <w:rPr>
      <w:rFonts w:cstheme="majorBidi"/>
      <w:b/>
      <w:bCs/>
      <w:color w:val="2F5597" w:themeColor="accent1" w:themeShade="BF"/>
    </w:rPr>
  </w:style>
  <w:style w:type="character" w:customStyle="1" w:styleId="28">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8"/>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i/>
      <w:iCs/>
      <w:color w:val="2F5597" w:themeColor="accent1" w:themeShade="BF"/>
    </w:rPr>
  </w:style>
  <w:style w:type="character" w:customStyle="1" w:styleId="39">
    <w:name w:val="Intense Reference"/>
    <w:basedOn w:val="20"/>
    <w:qFormat/>
    <w:uiPriority w:val="32"/>
    <w:rPr>
      <w:b/>
      <w:bCs/>
      <w:smallCaps/>
      <w:color w:val="2F5597" w:themeColor="accent1" w:themeShade="BF"/>
      <w:spacing w:val="5"/>
    </w:rPr>
  </w:style>
  <w:style w:type="paragraph" w:customStyle="1" w:styleId="40">
    <w:name w:val="EndNote Bibliography Title"/>
    <w:basedOn w:val="1"/>
    <w:link w:val="41"/>
    <w:uiPriority w:val="0"/>
    <w:pPr>
      <w:jc w:val="center"/>
    </w:pPr>
    <w:rPr>
      <w:rFonts w:ascii="等线" w:hAnsi="等线" w:eastAsia="等线"/>
      <w:sz w:val="20"/>
    </w:rPr>
  </w:style>
  <w:style w:type="character" w:customStyle="1" w:styleId="41">
    <w:name w:val="EndNote Bibliography Title 字符"/>
    <w:basedOn w:val="23"/>
    <w:link w:val="40"/>
    <w:uiPriority w:val="0"/>
    <w:rPr>
      <w:rFonts w:ascii="等线" w:hAnsi="等线" w:eastAsia="等线" w:cstheme="majorBidi"/>
      <w:b w:val="0"/>
      <w:sz w:val="20"/>
      <w:szCs w:val="40"/>
    </w:rPr>
  </w:style>
  <w:style w:type="paragraph" w:customStyle="1" w:styleId="42">
    <w:name w:val="EndNote Bibliography"/>
    <w:basedOn w:val="1"/>
    <w:link w:val="43"/>
    <w:uiPriority w:val="0"/>
    <w:pPr>
      <w:spacing w:line="240" w:lineRule="exact"/>
    </w:pPr>
    <w:rPr>
      <w:rFonts w:ascii="等线" w:hAnsi="等线" w:eastAsia="等线"/>
      <w:sz w:val="20"/>
    </w:rPr>
  </w:style>
  <w:style w:type="character" w:customStyle="1" w:styleId="43">
    <w:name w:val="EndNote Bibliography 字符"/>
    <w:basedOn w:val="23"/>
    <w:link w:val="42"/>
    <w:qFormat/>
    <w:uiPriority w:val="0"/>
    <w:rPr>
      <w:rFonts w:ascii="等线" w:hAnsi="等线" w:eastAsia="等线" w:cstheme="majorBidi"/>
      <w:b w:val="0"/>
      <w:sz w:val="20"/>
      <w:szCs w:val="40"/>
    </w:rPr>
  </w:style>
  <w:style w:type="paragraph" w:customStyle="1" w:styleId="44">
    <w:name w:val="TOC Heading"/>
    <w:basedOn w:val="2"/>
    <w:next w:val="1"/>
    <w:unhideWhenUsed/>
    <w:qFormat/>
    <w:uiPriority w:val="39"/>
    <w:pPr>
      <w:widowControl/>
      <w:spacing w:after="0" w:line="259" w:lineRule="auto"/>
      <w:jc w:val="left"/>
      <w:outlineLvl w:val="9"/>
    </w:pPr>
    <w:rPr>
      <w:rFonts w:asciiTheme="majorHAnsi" w:hAnsiTheme="majorHAnsi" w:eastAsiaTheme="majorEastAsia"/>
      <w:b w:val="0"/>
      <w:color w:val="2F5597" w:themeColor="accent1" w:themeShade="BF"/>
      <w:kern w:val="0"/>
      <w:szCs w:val="32"/>
      <w14:ligatures w14:val="none"/>
    </w:rPr>
  </w:style>
  <w:style w:type="character" w:customStyle="1" w:styleId="45">
    <w:name w:val="页眉 字符"/>
    <w:basedOn w:val="20"/>
    <w:link w:val="14"/>
    <w:qFormat/>
    <w:uiPriority w:val="99"/>
    <w:rPr>
      <w:rFonts w:ascii="Times New Roman" w:hAnsi="Times New Roman" w:eastAsia="仿宋_GB2312"/>
      <w:sz w:val="18"/>
      <w:szCs w:val="18"/>
    </w:rPr>
  </w:style>
  <w:style w:type="character" w:customStyle="1" w:styleId="46">
    <w:name w:val="页脚 字符"/>
    <w:basedOn w:val="20"/>
    <w:link w:val="13"/>
    <w:qFormat/>
    <w:uiPriority w:val="99"/>
    <w:rPr>
      <w:rFonts w:ascii="Times New Roman" w:hAnsi="Times New Roman" w:eastAsia="仿宋_GB231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8C599-E24A-4058-88E9-A61BA3AADD01}">
  <ds:schemaRefs/>
</ds:datastoreItem>
</file>

<file path=docProps/app.xml><?xml version="1.0" encoding="utf-8"?>
<Properties xmlns="http://schemas.openxmlformats.org/officeDocument/2006/extended-properties" xmlns:vt="http://schemas.openxmlformats.org/officeDocument/2006/docPropsVTypes">
  <Template>Normal.dotm</Template>
  <Pages>74</Pages>
  <Words>72</Words>
  <Characters>88</Characters>
  <Lines>230</Lines>
  <Paragraphs>64</Paragraphs>
  <TotalTime>22</TotalTime>
  <ScaleCrop>false</ScaleCrop>
  <LinksUpToDate>false</LinksUpToDate>
  <CharactersWithSpaces>102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2026-08-26T03:23:00Z</dcterms:created>
  <dc:creator>林 张</dc:creator>
  <cp:lastModifiedBy>姜浩东</cp:lastModifiedBy>
  <dcterms:modified xsi:type="dcterms:W3CDTF">2026-10-21T02:37:17Z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0F15F34D3D0244BC8B1B561EA3F9C17F_13</vt:lpwstr>
  </property>
  <property fmtid="{D5CDD505-2E9C-101B-9397-08002B2CF9AE}" pid="4" name="KSOTemplateDocerSaveRecord">
    <vt:lpwstr>eyJoZGlkIjoiNDM5YjRmNmNmMjA3NzM2ZGNlMDAyMTcwNmY0MDljNzIiLCJ1c2VySWQiOiIxODIyNDE3MDEwIn0=</vt:lpwstr>
  </property>
</Properties>
</file>