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收发器软件配置管理计划（SCMP）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UART-DOC-013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收发器软件配置管理计划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SCMP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组织和职责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软件配置管理活动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工具、技术和方法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对供货单位的控制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进度表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组织和职责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采用全角色模型：项目负责人、系统/安全、需求、PLDS 设计、验证、独立 V&amp;V、质量保证、配置管理、标准/文档控制、硬件/板卡责任人和发布/G4 批准人。人选、独立性、权限和签署待项目负责人审定；Synthia 只能拟制候选和整理证据，不能充当受权人类批准人。</w:t>
      </w:r>
    </w:p>
    <w:p>
      <w:pPr>
        <w:pStyle w:val="Heading1"/>
      </w:pPr>
      <w:r>
        <w:t>4 软件配置管理活动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活动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要求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记录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配置标识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源码、TB、XDC、文档、工具 profile 和板级输入使用唯一标识/版本/SHA-256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ArtifactRevision/manifest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配置控制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变更需要来源、影响分析、授权决定和回归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change/approval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状态记实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candidate/in_review/approved 和 exploratory/formal 严格分离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event/status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配置审核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基线前复核完整性、哈希、追踪、问题和权限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audit record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发行/交付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只允许获批产品基线和证据清单进入发布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SVD/SPS/delivery manifest</w:t>
            </w:r>
          </w:p>
        </w:tc>
      </w:tr>
    </w:tbl>
    <w:p>
      <w:pPr>
        <w:spacing w:after="40"/>
      </w:pPr>
    </w:p>
    <w:p>
      <w:pPr>
        <w:pStyle w:val="Heading1"/>
      </w:pPr>
      <w:r>
        <w:t>5 工具、技术和方法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Git 保留内容寻址历史，Core 保留 Artifact/Revision/Snapshot/Approval 结构化事实，Connector 保留 ToolRun 和 EvidenceManifest。不用 Markdown 状态冒充批准对象。</w:t>
      </w:r>
    </w:p>
    <w:p>
      <w:pPr>
        <w:pStyle w:val="Heading1"/>
      </w:pPr>
      <w:r>
        <w:t>6 对供货单位的控制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本节无已确认供货单位内容，因当前未识别分承制方；引入板卡/IP/工具供应方后补充版本、许可、完整性和交付控制。</w:t>
      </w:r>
    </w:p>
    <w:p>
      <w:pPr>
        <w:pStyle w:val="Heading1"/>
      </w:pPr>
      <w:r>
        <w:t>7 进度表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配置标识随首次产出建立；每次门审前执行状态记实与配置审核；发布时生成 SPS/SVD/SCMR 和交付清单。</w:t>
      </w:r>
    </w:p>
    <w:p>
      <w:pPr>
        <w:pStyle w:val="Heading1"/>
      </w:pPr>
      <w:r>
        <w:t>8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配置管理角色人选和批准权限待项目负责人确认。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收发器软件配置管理计划（SCMP）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